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199E" w:rsidRPr="002607B2" w:rsidRDefault="0087199E" w:rsidP="0087199E">
      <w:pPr>
        <w:spacing w:line="256" w:lineRule="auto"/>
        <w:ind w:left="720" w:hanging="360"/>
        <w:rPr>
          <w:rFonts w:ascii="Arial Narrow" w:hAnsi="Arial Narrow"/>
        </w:rPr>
      </w:pPr>
      <w:bookmarkStart w:id="0" w:name="_GoBack"/>
      <w:bookmarkEnd w:id="0"/>
      <w:r w:rsidRPr="002607B2">
        <w:rPr>
          <w:rFonts w:ascii="Arial Narrow" w:hAnsi="Arial Narrow"/>
        </w:rPr>
        <w:tab/>
      </w:r>
      <w:r w:rsidRPr="002607B2">
        <w:rPr>
          <w:rFonts w:ascii="Arial Narrow" w:hAnsi="Arial Narrow"/>
        </w:rPr>
        <w:tab/>
      </w:r>
      <w:r w:rsidRPr="002607B2">
        <w:rPr>
          <w:rFonts w:ascii="Arial Narrow" w:hAnsi="Arial Narrow"/>
        </w:rPr>
        <w:tab/>
      </w:r>
      <w:r w:rsidRPr="002607B2">
        <w:rPr>
          <w:rFonts w:ascii="Arial Narrow" w:hAnsi="Arial Narrow"/>
        </w:rPr>
        <w:tab/>
      </w:r>
      <w:r w:rsidRPr="002607B2">
        <w:rPr>
          <w:rFonts w:ascii="Arial Narrow" w:hAnsi="Arial Narrow"/>
        </w:rPr>
        <w:tab/>
      </w:r>
      <w:r w:rsidRPr="002607B2">
        <w:rPr>
          <w:rFonts w:ascii="Arial Narrow" w:hAnsi="Arial Narrow"/>
        </w:rPr>
        <w:tab/>
      </w:r>
      <w:r w:rsidRPr="002607B2">
        <w:rPr>
          <w:rFonts w:ascii="Arial Narrow" w:hAnsi="Arial Narrow"/>
        </w:rPr>
        <w:tab/>
      </w:r>
      <w:r w:rsidRPr="002607B2">
        <w:rPr>
          <w:rFonts w:ascii="Arial Narrow" w:hAnsi="Arial Narrow"/>
        </w:rPr>
        <w:tab/>
      </w:r>
    </w:p>
    <w:p w:rsidR="0087199E" w:rsidRPr="0087199E" w:rsidRDefault="0087199E" w:rsidP="0087199E">
      <w:pPr>
        <w:spacing w:line="256" w:lineRule="auto"/>
        <w:ind w:left="720" w:hanging="360"/>
        <w:rPr>
          <w:rFonts w:ascii="Arial Narrow" w:hAnsi="Arial Narrow"/>
        </w:rPr>
      </w:pPr>
    </w:p>
    <w:p w:rsidR="0087199E" w:rsidRPr="0087199E" w:rsidRDefault="0087199E" w:rsidP="0087199E">
      <w:pPr>
        <w:spacing w:line="256" w:lineRule="auto"/>
        <w:ind w:left="720" w:hanging="360"/>
        <w:jc w:val="center"/>
        <w:rPr>
          <w:rFonts w:ascii="Arial Narrow" w:hAnsi="Arial Narrow"/>
          <w:b/>
        </w:rPr>
      </w:pPr>
      <w:r w:rsidRPr="0087199E">
        <w:rPr>
          <w:rFonts w:ascii="Arial Narrow" w:hAnsi="Arial Narrow"/>
          <w:b/>
        </w:rPr>
        <w:t>OPIS PRZEDMIOTU ZAMÓWIENIA</w:t>
      </w:r>
    </w:p>
    <w:p w:rsidR="0087199E" w:rsidRDefault="0087199E" w:rsidP="0087199E">
      <w:pPr>
        <w:pStyle w:val="Tekstpodstawowywcity"/>
        <w:spacing w:line="256" w:lineRule="auto"/>
        <w:ind w:left="720"/>
        <w:rPr>
          <w:rFonts w:ascii="Arial Narrow" w:hAnsi="Arial Narrow"/>
          <w:bCs/>
          <w:lang w:val="pl-PL"/>
        </w:rPr>
      </w:pPr>
    </w:p>
    <w:p w:rsidR="0087199E" w:rsidRDefault="0087199E" w:rsidP="0087199E">
      <w:pPr>
        <w:pStyle w:val="Tekstpodstawowywcity"/>
        <w:numPr>
          <w:ilvl w:val="0"/>
          <w:numId w:val="5"/>
        </w:numPr>
        <w:spacing w:line="256" w:lineRule="auto"/>
        <w:rPr>
          <w:rFonts w:ascii="Arial Narrow" w:hAnsi="Arial Narrow"/>
          <w:b/>
          <w:bCs/>
          <w:lang w:val="pl-PL"/>
        </w:rPr>
      </w:pPr>
      <w:r w:rsidRPr="0087199E">
        <w:rPr>
          <w:rFonts w:ascii="Arial Narrow" w:hAnsi="Arial Narrow"/>
          <w:b/>
          <w:bCs/>
          <w:lang w:val="pl-PL"/>
        </w:rPr>
        <w:t>Zakres rzeczowy:</w:t>
      </w:r>
    </w:p>
    <w:p w:rsidR="0087199E" w:rsidRPr="0087199E" w:rsidRDefault="0087199E" w:rsidP="0087199E">
      <w:pPr>
        <w:pStyle w:val="Tekstpodstawowywcity"/>
        <w:spacing w:line="256" w:lineRule="auto"/>
        <w:ind w:left="720"/>
        <w:rPr>
          <w:rFonts w:ascii="Arial Narrow" w:hAnsi="Arial Narrow"/>
          <w:b/>
          <w:bCs/>
          <w:lang w:val="pl-PL"/>
        </w:rPr>
      </w:pPr>
    </w:p>
    <w:p w:rsidR="0087199E" w:rsidRDefault="0087199E" w:rsidP="0087199E">
      <w:pPr>
        <w:pStyle w:val="Tekstpodstawowywcity"/>
        <w:spacing w:line="256" w:lineRule="auto"/>
        <w:ind w:left="0"/>
        <w:jc w:val="both"/>
        <w:rPr>
          <w:rFonts w:ascii="Arial Narrow" w:hAnsi="Arial Narrow"/>
          <w:bCs/>
          <w:lang w:val="pl-PL"/>
        </w:rPr>
      </w:pPr>
      <w:r>
        <w:rPr>
          <w:rFonts w:ascii="Arial Narrow" w:hAnsi="Arial Narrow"/>
          <w:bCs/>
          <w:lang w:val="pl-PL"/>
        </w:rPr>
        <w:t>W zakres usług będących przedmiotem zamówienia wchodzi usuwanie i przechowywanie pojazdów wszystkich typów z wyłączeniem pojazdów przewożących materiały niebezpieczne oraz przekazywanie, na wniosek Zamawiającego, do recyklingu pojazdów porzuconych, usuwanych z dróg leżących na terenie miasta Włocławek w trybie art. 50a i 130a ustawy z dnia 20 czerwca 1997 roku Prawo o ruchu drogowym (</w:t>
      </w:r>
      <w:proofErr w:type="spellStart"/>
      <w:r>
        <w:rPr>
          <w:rFonts w:ascii="Arial Narrow" w:hAnsi="Arial Narrow"/>
          <w:bCs/>
          <w:lang w:val="pl-PL"/>
        </w:rPr>
        <w:t>t.j</w:t>
      </w:r>
      <w:proofErr w:type="spellEnd"/>
      <w:r>
        <w:rPr>
          <w:rFonts w:ascii="Arial Narrow" w:hAnsi="Arial Narrow"/>
          <w:bCs/>
          <w:lang w:val="pl-PL"/>
        </w:rPr>
        <w:t xml:space="preserve">. Dz.U. z 2019 poz.1843), zwanej dalej „Ustawą”. Usunięcie pojazdu z drogi odbywać się  będzie zgodnie z zasadami sztuki i przy ścisłym przestrzeganiu zasad bezpieczeństwa i przepisów prawa. </w:t>
      </w:r>
      <w:r>
        <w:rPr>
          <w:rFonts w:ascii="Arial Narrow" w:hAnsi="Arial Narrow"/>
          <w:bCs/>
          <w:lang w:val="pl-PL"/>
        </w:rPr>
        <w:br/>
        <w:t xml:space="preserve">Co najmniej będziemy mieli do czynienia z holowaniem, o którym mowa w art. 31 ust.3 ustawy z dnia </w:t>
      </w:r>
      <w:r>
        <w:rPr>
          <w:rFonts w:ascii="Arial Narrow" w:hAnsi="Arial Narrow"/>
          <w:bCs/>
          <w:lang w:val="pl-PL"/>
        </w:rPr>
        <w:br/>
        <w:t>20 czerwca 1997 roku Prawo o ruchu drogowym (</w:t>
      </w:r>
      <w:proofErr w:type="spellStart"/>
      <w:r>
        <w:rPr>
          <w:rFonts w:ascii="Arial Narrow" w:hAnsi="Arial Narrow"/>
          <w:bCs/>
          <w:lang w:val="pl-PL"/>
        </w:rPr>
        <w:t>t.j</w:t>
      </w:r>
      <w:proofErr w:type="spellEnd"/>
      <w:r>
        <w:rPr>
          <w:rFonts w:ascii="Arial Narrow" w:hAnsi="Arial Narrow"/>
          <w:bCs/>
          <w:lang w:val="pl-PL"/>
        </w:rPr>
        <w:t xml:space="preserve">. Dz. U. z 2019 poz.1843), zwanej dalej Ustawą, to jest holowaniem pojazdu w sposób wykluczający potrzebę kierowania nim luz użycia hamulców (np. gdy unieruchomione są koła pędne i spoczywają na urządzeniu holowniczym). Do holowania pojazdów winien być wykorzystywany sprzęt specjalistyczny przeznaczony do tego rodzaju zadań z uwzględnieniem zasady, iż rzeczywista masa całkowita pojazdu holowanego nie może przekraczać rzeczywistej masy całkowitej pojazdu holującego. Przechowywanie pojazdów winno się odbywać na parkingu strzeżonym, odpowiednio ogrodzonym, oświetlonym oraz monitorowanym. Pojazdy uszkodzone winny być zabezpieczone w sposób niezagrażający środowisku, a jednocześnie tak, by ich stan nie ulegał znacznemu pogorszeniu poprzez parkowanie. Parking winien posiadać odpowiednią liczbę miejsc, która pozwoli na swobodne przechowywanie powierzonej liczby pojazdów. </w:t>
      </w:r>
    </w:p>
    <w:p w:rsidR="0087199E" w:rsidRDefault="0087199E" w:rsidP="0087199E">
      <w:pPr>
        <w:pStyle w:val="Tekstpodstawowywcity"/>
        <w:spacing w:line="256" w:lineRule="auto"/>
        <w:ind w:left="0"/>
        <w:rPr>
          <w:rFonts w:ascii="Arial Narrow" w:hAnsi="Arial Narrow"/>
          <w:b/>
          <w:bCs/>
          <w:lang w:val="pl-PL"/>
        </w:rPr>
      </w:pPr>
    </w:p>
    <w:p w:rsidR="0087199E" w:rsidRDefault="0087199E" w:rsidP="0087199E">
      <w:pPr>
        <w:pStyle w:val="Tekstpodstawowywcity"/>
        <w:spacing w:line="256" w:lineRule="auto"/>
        <w:ind w:left="0"/>
        <w:rPr>
          <w:rFonts w:ascii="Arial Narrow" w:hAnsi="Arial Narrow"/>
          <w:b/>
          <w:bCs/>
          <w:lang w:val="pl-PL"/>
        </w:rPr>
      </w:pPr>
      <w:r>
        <w:rPr>
          <w:rFonts w:ascii="Arial Narrow" w:hAnsi="Arial Narrow"/>
          <w:b/>
          <w:bCs/>
          <w:lang w:val="pl-PL"/>
        </w:rPr>
        <w:t>Wykonawca będzie zobowiązany do realizowanie przedmiotu zamówienia 24 godziny na dobę przez 7 dni w tygodniu.</w:t>
      </w:r>
    </w:p>
    <w:p w:rsidR="0087199E" w:rsidRDefault="0087199E" w:rsidP="0087199E">
      <w:pPr>
        <w:pStyle w:val="Tekstpodstawowywcity"/>
        <w:spacing w:line="256" w:lineRule="auto"/>
        <w:ind w:left="786"/>
        <w:rPr>
          <w:rFonts w:ascii="Arial Narrow" w:hAnsi="Arial Narrow"/>
          <w:bCs/>
          <w:lang w:val="pl-PL"/>
        </w:rPr>
      </w:pPr>
    </w:p>
    <w:p w:rsidR="0087199E" w:rsidRDefault="0087199E" w:rsidP="0087199E">
      <w:pPr>
        <w:pStyle w:val="Tekstpodstawowywcity"/>
        <w:spacing w:line="256" w:lineRule="auto"/>
        <w:ind w:left="0"/>
        <w:jc w:val="both"/>
        <w:rPr>
          <w:rFonts w:ascii="Arial Narrow" w:hAnsi="Arial Narrow"/>
          <w:bCs/>
          <w:lang w:val="pl-PL"/>
        </w:rPr>
      </w:pPr>
      <w:r>
        <w:rPr>
          <w:rFonts w:ascii="Arial Narrow" w:hAnsi="Arial Narrow"/>
          <w:bCs/>
          <w:lang w:val="pl-PL"/>
        </w:rPr>
        <w:t xml:space="preserve">W zakres usługi będącej przedmiotem zamówienia tj. usunięcia i przechowywania pojazdu wchodzi, </w:t>
      </w:r>
      <w:r>
        <w:rPr>
          <w:rFonts w:ascii="Arial Narrow" w:hAnsi="Arial Narrow"/>
          <w:bCs/>
          <w:lang w:val="pl-PL"/>
        </w:rPr>
        <w:br/>
        <w:t>w szczególności:</w:t>
      </w:r>
    </w:p>
    <w:p w:rsidR="0087199E" w:rsidRDefault="0087199E" w:rsidP="0087199E">
      <w:pPr>
        <w:pStyle w:val="Tekstpodstawowywcity"/>
        <w:numPr>
          <w:ilvl w:val="0"/>
          <w:numId w:val="3"/>
        </w:numPr>
        <w:spacing w:line="256" w:lineRule="auto"/>
        <w:jc w:val="both"/>
        <w:rPr>
          <w:rFonts w:ascii="Arial Narrow" w:hAnsi="Arial Narrow"/>
          <w:bCs/>
          <w:lang w:val="pl-PL"/>
        </w:rPr>
      </w:pPr>
      <w:r>
        <w:rPr>
          <w:rFonts w:ascii="Arial Narrow" w:hAnsi="Arial Narrow"/>
          <w:bCs/>
          <w:lang w:val="pl-PL"/>
        </w:rPr>
        <w:t>Dojazd do miejsca zdarzenia w granicach administracyjnych miasta, w celu zrealizowania każdej dyspozycji usunięcia pojazdu bez względu na warunki pogodowe,</w:t>
      </w:r>
    </w:p>
    <w:p w:rsidR="0087199E" w:rsidRDefault="0087199E" w:rsidP="0087199E">
      <w:pPr>
        <w:pStyle w:val="Tekstpodstawowywcity"/>
        <w:numPr>
          <w:ilvl w:val="0"/>
          <w:numId w:val="3"/>
        </w:numPr>
        <w:spacing w:line="256" w:lineRule="auto"/>
        <w:jc w:val="both"/>
        <w:rPr>
          <w:rFonts w:ascii="Arial Narrow" w:hAnsi="Arial Narrow"/>
          <w:bCs/>
          <w:lang w:val="pl-PL"/>
        </w:rPr>
      </w:pPr>
      <w:r>
        <w:rPr>
          <w:rFonts w:ascii="Arial Narrow" w:hAnsi="Arial Narrow"/>
          <w:bCs/>
          <w:lang w:val="pl-PL"/>
        </w:rPr>
        <w:t>Sporządzanie szczegółowej dokumentacji fotograficznej pozwalającej stwierdzić ewentualne uszkodzenia pojazdu przed załadunkiem,</w:t>
      </w:r>
    </w:p>
    <w:p w:rsidR="0087199E" w:rsidRDefault="0087199E" w:rsidP="0087199E">
      <w:pPr>
        <w:pStyle w:val="Tekstpodstawowywcity"/>
        <w:numPr>
          <w:ilvl w:val="0"/>
          <w:numId w:val="3"/>
        </w:numPr>
        <w:spacing w:line="256" w:lineRule="auto"/>
        <w:jc w:val="both"/>
        <w:rPr>
          <w:rFonts w:ascii="Arial Narrow" w:hAnsi="Arial Narrow"/>
          <w:bCs/>
          <w:lang w:val="pl-PL"/>
        </w:rPr>
      </w:pPr>
      <w:r>
        <w:rPr>
          <w:rFonts w:ascii="Arial Narrow" w:hAnsi="Arial Narrow"/>
          <w:bCs/>
          <w:lang w:val="pl-PL"/>
        </w:rPr>
        <w:t>Wyciąganie pojazdu spoza jezdni o ile to jest konieczne w celu usunięcia pojazdu z miejsca zdarzenia,</w:t>
      </w:r>
    </w:p>
    <w:p w:rsidR="0087199E" w:rsidRDefault="0087199E" w:rsidP="0087199E">
      <w:pPr>
        <w:pStyle w:val="Tekstpodstawowywcity"/>
        <w:numPr>
          <w:ilvl w:val="0"/>
          <w:numId w:val="3"/>
        </w:numPr>
        <w:spacing w:line="256" w:lineRule="auto"/>
        <w:jc w:val="both"/>
        <w:rPr>
          <w:rFonts w:ascii="Arial Narrow" w:hAnsi="Arial Narrow"/>
          <w:bCs/>
          <w:lang w:val="pl-PL"/>
        </w:rPr>
      </w:pPr>
      <w:r>
        <w:rPr>
          <w:rFonts w:ascii="Arial Narrow" w:hAnsi="Arial Narrow"/>
          <w:bCs/>
          <w:lang w:val="pl-PL"/>
        </w:rPr>
        <w:t>Załadunek, rozładunek oraz inne czynności związane z załadunkiem i wyładunkiem pojazdu,</w:t>
      </w:r>
    </w:p>
    <w:p w:rsidR="0087199E" w:rsidRDefault="0087199E" w:rsidP="0087199E">
      <w:pPr>
        <w:pStyle w:val="Tekstpodstawowywcity"/>
        <w:numPr>
          <w:ilvl w:val="0"/>
          <w:numId w:val="3"/>
        </w:numPr>
        <w:spacing w:line="256" w:lineRule="auto"/>
        <w:jc w:val="both"/>
        <w:rPr>
          <w:rFonts w:ascii="Arial Narrow" w:hAnsi="Arial Narrow"/>
          <w:bCs/>
          <w:lang w:val="pl-PL"/>
        </w:rPr>
      </w:pPr>
      <w:r>
        <w:rPr>
          <w:rFonts w:ascii="Arial Narrow" w:hAnsi="Arial Narrow"/>
          <w:bCs/>
          <w:lang w:val="pl-PL"/>
        </w:rPr>
        <w:t xml:space="preserve">Uprzątnięcie miejsca zdarzenia z części, przedmiotów i płynów pochodzących z uszkodzonych pojazdów (z wyjątkiem konieczności użycia specjalistycznego sprzętu znajdującego się  </w:t>
      </w:r>
      <w:r>
        <w:rPr>
          <w:rFonts w:ascii="Arial Narrow" w:hAnsi="Arial Narrow"/>
          <w:bCs/>
          <w:lang w:val="pl-PL"/>
        </w:rPr>
        <w:br/>
        <w:t>w pojazdach do tego przystosowanych np. Straży Pożarnej),</w:t>
      </w:r>
    </w:p>
    <w:p w:rsidR="0087199E" w:rsidRDefault="0087199E" w:rsidP="0087199E">
      <w:pPr>
        <w:pStyle w:val="Tekstpodstawowywcity"/>
        <w:numPr>
          <w:ilvl w:val="0"/>
          <w:numId w:val="3"/>
        </w:numPr>
        <w:spacing w:line="256" w:lineRule="auto"/>
        <w:jc w:val="both"/>
        <w:rPr>
          <w:rFonts w:ascii="Arial Narrow" w:hAnsi="Arial Narrow"/>
          <w:bCs/>
          <w:lang w:val="pl-PL"/>
        </w:rPr>
      </w:pPr>
      <w:r>
        <w:rPr>
          <w:rFonts w:ascii="Arial Narrow" w:hAnsi="Arial Narrow"/>
          <w:bCs/>
          <w:lang w:val="pl-PL"/>
        </w:rPr>
        <w:t>Holowanie (holowanie pojazdu w sposób wykluczający potrzebę kierowania nim lub użycia hamulców), przewóz pojazdu na parking Wykonawcy,</w:t>
      </w:r>
    </w:p>
    <w:p w:rsidR="0087199E" w:rsidRDefault="0087199E" w:rsidP="0087199E">
      <w:pPr>
        <w:pStyle w:val="Tekstpodstawowywcity"/>
        <w:numPr>
          <w:ilvl w:val="0"/>
          <w:numId w:val="3"/>
        </w:numPr>
        <w:spacing w:line="256" w:lineRule="auto"/>
        <w:jc w:val="both"/>
        <w:rPr>
          <w:rFonts w:ascii="Arial Narrow" w:hAnsi="Arial Narrow"/>
          <w:bCs/>
          <w:lang w:val="pl-PL"/>
        </w:rPr>
      </w:pPr>
      <w:r>
        <w:rPr>
          <w:rFonts w:ascii="Arial Narrow" w:hAnsi="Arial Narrow"/>
          <w:bCs/>
          <w:lang w:val="pl-PL"/>
        </w:rPr>
        <w:t>Ewentualne odstąpienie od usunięcia pojazdu, na polecenie podmiotu, który wydał dyspozycję usunięcia pojazdu, w przypadku ustania przyczyny jego usunięcia,</w:t>
      </w:r>
    </w:p>
    <w:p w:rsidR="0087199E" w:rsidRDefault="0087199E" w:rsidP="0087199E">
      <w:pPr>
        <w:pStyle w:val="Tekstpodstawowywcity"/>
        <w:numPr>
          <w:ilvl w:val="0"/>
          <w:numId w:val="3"/>
        </w:numPr>
        <w:spacing w:line="256" w:lineRule="auto"/>
        <w:jc w:val="both"/>
        <w:rPr>
          <w:rFonts w:ascii="Arial Narrow" w:hAnsi="Arial Narrow"/>
          <w:bCs/>
          <w:lang w:val="pl-PL"/>
        </w:rPr>
      </w:pPr>
      <w:r>
        <w:rPr>
          <w:rFonts w:ascii="Arial Narrow" w:hAnsi="Arial Narrow"/>
          <w:bCs/>
          <w:lang w:val="pl-PL"/>
        </w:rPr>
        <w:t>Prowadzenie parkingu strzeżonego, na którym będą przechowywane pojazdy,</w:t>
      </w:r>
    </w:p>
    <w:p w:rsidR="0087199E" w:rsidRDefault="0087199E" w:rsidP="0087199E">
      <w:pPr>
        <w:pStyle w:val="Tekstpodstawowywcity"/>
        <w:numPr>
          <w:ilvl w:val="0"/>
          <w:numId w:val="3"/>
        </w:numPr>
        <w:spacing w:line="256" w:lineRule="auto"/>
        <w:jc w:val="both"/>
        <w:rPr>
          <w:rFonts w:ascii="Arial Narrow" w:hAnsi="Arial Narrow"/>
          <w:bCs/>
          <w:lang w:val="pl-PL"/>
        </w:rPr>
      </w:pPr>
      <w:r>
        <w:rPr>
          <w:rFonts w:ascii="Arial Narrow" w:hAnsi="Arial Narrow"/>
          <w:bCs/>
          <w:lang w:val="pl-PL"/>
        </w:rPr>
        <w:t xml:space="preserve">Umożliwienie osobom upoważnionym, w szczególności przedstawicielom Zamawiającego, </w:t>
      </w:r>
      <w:r>
        <w:rPr>
          <w:rFonts w:ascii="Arial Narrow" w:hAnsi="Arial Narrow"/>
          <w:bCs/>
          <w:lang w:val="pl-PL"/>
        </w:rPr>
        <w:br/>
        <w:t>do dokonywania oględzin na terenie parkingu zabezpieczonego pojazdu,</w:t>
      </w:r>
    </w:p>
    <w:p w:rsidR="0087199E" w:rsidRDefault="0087199E" w:rsidP="0087199E">
      <w:pPr>
        <w:pStyle w:val="Tekstpodstawowywcity"/>
        <w:numPr>
          <w:ilvl w:val="0"/>
          <w:numId w:val="3"/>
        </w:numPr>
        <w:spacing w:line="256" w:lineRule="auto"/>
        <w:jc w:val="both"/>
        <w:rPr>
          <w:rFonts w:ascii="Arial Narrow" w:hAnsi="Arial Narrow"/>
          <w:bCs/>
          <w:lang w:val="pl-PL"/>
        </w:rPr>
      </w:pPr>
      <w:r>
        <w:rPr>
          <w:rFonts w:ascii="Arial Narrow" w:hAnsi="Arial Narrow"/>
          <w:bCs/>
          <w:lang w:val="pl-PL"/>
        </w:rPr>
        <w:lastRenderedPageBreak/>
        <w:t>Umożliwienie osobom upoważnionym, w szczególności przedstawicielom Zamawiającego, kontroli pracy Wykonawcy na każdym jej etapie, w tym warunków przechowywania pojazdów,</w:t>
      </w:r>
    </w:p>
    <w:p w:rsidR="0087199E" w:rsidRDefault="0087199E" w:rsidP="0087199E">
      <w:pPr>
        <w:pStyle w:val="Tekstpodstawowywcity"/>
        <w:numPr>
          <w:ilvl w:val="0"/>
          <w:numId w:val="3"/>
        </w:numPr>
        <w:spacing w:line="256" w:lineRule="auto"/>
        <w:jc w:val="both"/>
        <w:rPr>
          <w:rFonts w:ascii="Arial Narrow" w:hAnsi="Arial Narrow"/>
          <w:bCs/>
          <w:lang w:val="pl-PL"/>
        </w:rPr>
      </w:pPr>
      <w:r>
        <w:rPr>
          <w:rFonts w:ascii="Arial Narrow" w:hAnsi="Arial Narrow"/>
          <w:bCs/>
          <w:lang w:val="pl-PL"/>
        </w:rPr>
        <w:t xml:space="preserve">Zabezpieczenie pojazdu i części pojazdu przed jego uszkodzeniem, zniszczeniem, kradzieżą </w:t>
      </w:r>
      <w:r>
        <w:rPr>
          <w:rFonts w:ascii="Arial Narrow" w:hAnsi="Arial Narrow"/>
          <w:bCs/>
          <w:lang w:val="pl-PL"/>
        </w:rPr>
        <w:br/>
        <w:t>w czasie transportu oraz przechowywania na parkingu a także, w przypadku  pojazdów uszkodzonych, zabezpieczenie ich przed działaniem czynników pogodowych,</w:t>
      </w:r>
    </w:p>
    <w:p w:rsidR="0087199E" w:rsidRDefault="0087199E" w:rsidP="0087199E">
      <w:pPr>
        <w:pStyle w:val="Tekstpodstawowywcity"/>
        <w:numPr>
          <w:ilvl w:val="0"/>
          <w:numId w:val="3"/>
        </w:numPr>
        <w:spacing w:line="256" w:lineRule="auto"/>
        <w:jc w:val="both"/>
        <w:rPr>
          <w:rFonts w:ascii="Arial Narrow" w:hAnsi="Arial Narrow"/>
          <w:bCs/>
          <w:lang w:val="pl-PL"/>
        </w:rPr>
      </w:pPr>
      <w:r>
        <w:rPr>
          <w:rFonts w:ascii="Arial Narrow" w:hAnsi="Arial Narrow"/>
          <w:bCs/>
          <w:lang w:val="pl-PL"/>
        </w:rPr>
        <w:t>Przechowywanie w zabezpieczonym pomieszczeniu wyposażenia pojazdu, części lub innych elementów zabezpieczonego pojazdu, które zostały oddzielone od pojazdu i mogłyby ulec zniszczeniu lub zaginięciu w miejscu do przechowywania pojazdów,</w:t>
      </w:r>
    </w:p>
    <w:p w:rsidR="0087199E" w:rsidRDefault="0087199E" w:rsidP="0087199E">
      <w:pPr>
        <w:pStyle w:val="Tekstpodstawowywcity"/>
        <w:numPr>
          <w:ilvl w:val="0"/>
          <w:numId w:val="3"/>
        </w:numPr>
        <w:spacing w:line="256" w:lineRule="auto"/>
        <w:jc w:val="both"/>
        <w:rPr>
          <w:rFonts w:ascii="Arial Narrow" w:hAnsi="Arial Narrow"/>
          <w:bCs/>
          <w:lang w:val="pl-PL"/>
        </w:rPr>
      </w:pPr>
      <w:r>
        <w:rPr>
          <w:rFonts w:ascii="Arial Narrow" w:hAnsi="Arial Narrow"/>
          <w:bCs/>
          <w:lang w:val="pl-PL"/>
        </w:rPr>
        <w:t>Wydanie lub przekazanie pojazdu,</w:t>
      </w:r>
    </w:p>
    <w:p w:rsidR="0087199E" w:rsidRDefault="0087199E" w:rsidP="0087199E">
      <w:pPr>
        <w:pStyle w:val="Tekstpodstawowywcity"/>
        <w:numPr>
          <w:ilvl w:val="0"/>
          <w:numId w:val="3"/>
        </w:numPr>
        <w:spacing w:line="256" w:lineRule="auto"/>
        <w:jc w:val="both"/>
        <w:rPr>
          <w:rFonts w:ascii="Arial Narrow" w:hAnsi="Arial Narrow"/>
          <w:bCs/>
          <w:lang w:val="pl-PL"/>
        </w:rPr>
      </w:pPr>
      <w:r>
        <w:rPr>
          <w:rFonts w:ascii="Arial Narrow" w:hAnsi="Arial Narrow"/>
          <w:bCs/>
          <w:lang w:val="pl-PL"/>
        </w:rPr>
        <w:t>Recykling pojazdu usuniętego w trybie art. 50a Ustawy, po upływie okresu przechowywania, określonego przepisami.</w:t>
      </w:r>
    </w:p>
    <w:sectPr w:rsidR="0087199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676E" w:rsidRDefault="00F3676E" w:rsidP="00F3676E">
      <w:r>
        <w:separator/>
      </w:r>
    </w:p>
  </w:endnote>
  <w:endnote w:type="continuationSeparator" w:id="0">
    <w:p w:rsidR="00F3676E" w:rsidRDefault="00F3676E" w:rsidP="00F36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7070921"/>
      <w:docPartObj>
        <w:docPartGallery w:val="Page Numbers (Bottom of Page)"/>
        <w:docPartUnique/>
      </w:docPartObj>
    </w:sdtPr>
    <w:sdtEndPr>
      <w:rPr>
        <w:color w:val="7F7F7F" w:themeColor="background1" w:themeShade="7F"/>
        <w:spacing w:val="60"/>
      </w:rPr>
    </w:sdtEndPr>
    <w:sdtContent>
      <w:p w:rsidR="00813F74" w:rsidRDefault="00813F74">
        <w:pPr>
          <w:pStyle w:val="Stopka"/>
          <w:pBdr>
            <w:top w:val="single" w:sz="4" w:space="1" w:color="D9D9D9" w:themeColor="background1" w:themeShade="D9"/>
          </w:pBdr>
          <w:jc w:val="right"/>
        </w:pPr>
        <w:r>
          <w:fldChar w:fldCharType="begin"/>
        </w:r>
        <w:r>
          <w:instrText>PAGE   \* MERGEFORMAT</w:instrText>
        </w:r>
        <w:r>
          <w:fldChar w:fldCharType="separate"/>
        </w:r>
        <w:r>
          <w:t>2</w:t>
        </w:r>
        <w:r>
          <w:fldChar w:fldCharType="end"/>
        </w:r>
        <w:r>
          <w:t xml:space="preserve"> | </w:t>
        </w:r>
        <w:r>
          <w:rPr>
            <w:color w:val="7F7F7F" w:themeColor="background1" w:themeShade="7F"/>
            <w:spacing w:val="60"/>
          </w:rPr>
          <w:t>Strona</w:t>
        </w:r>
      </w:p>
    </w:sdtContent>
  </w:sdt>
  <w:p w:rsidR="00813F74" w:rsidRDefault="00813F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676E" w:rsidRDefault="00F3676E" w:rsidP="00F3676E">
      <w:r>
        <w:separator/>
      </w:r>
    </w:p>
  </w:footnote>
  <w:footnote w:type="continuationSeparator" w:id="0">
    <w:p w:rsidR="00F3676E" w:rsidRDefault="00F3676E" w:rsidP="00F36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76E" w:rsidRPr="00F3676E" w:rsidRDefault="00F3676E">
    <w:pPr>
      <w:pStyle w:val="Nagwek"/>
      <w:rPr>
        <w:rFonts w:ascii="Arial Narrow" w:hAnsi="Arial Narrow"/>
      </w:rPr>
    </w:pPr>
    <w:r>
      <w:t xml:space="preserve">                                                                                                       </w:t>
    </w:r>
    <w:r w:rsidRPr="00F3676E">
      <w:rPr>
        <w:rFonts w:ascii="Arial Narrow" w:hAnsi="Arial Narrow"/>
      </w:rPr>
      <w:t xml:space="preserve">Załącznik nr </w:t>
    </w:r>
    <w:r w:rsidR="007A45BC">
      <w:rPr>
        <w:rFonts w:ascii="Arial Narrow" w:hAnsi="Arial Narrow"/>
      </w:rPr>
      <w:t>4</w:t>
    </w:r>
    <w:r w:rsidRPr="00F3676E">
      <w:rPr>
        <w:rFonts w:ascii="Arial Narrow" w:hAnsi="Arial Narrow"/>
      </w:rPr>
      <w:t xml:space="preserve"> do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31075"/>
    <w:multiLevelType w:val="multilevel"/>
    <w:tmpl w:val="2A068D24"/>
    <w:lvl w:ilvl="0">
      <w:start w:val="1"/>
      <w:numFmt w:val="decimal"/>
      <w:lvlText w:val="%1."/>
      <w:lvlJc w:val="left"/>
      <w:pPr>
        <w:ind w:left="360" w:hanging="360"/>
      </w:pPr>
      <w:rPr>
        <w:strike w:val="0"/>
        <w:dstrike w:val="0"/>
        <w:color w:val="auto"/>
        <w:u w:val="none"/>
        <w:effect w:val="none"/>
      </w:rPr>
    </w:lvl>
    <w:lvl w:ilvl="1">
      <w:start w:val="1"/>
      <w:numFmt w:val="decimal"/>
      <w:lvlText w:val="%2)"/>
      <w:lvlJc w:val="left"/>
      <w:pPr>
        <w:ind w:left="643" w:hanging="360"/>
      </w:pPr>
      <w:rPr>
        <w:color w:val="auto"/>
      </w:rPr>
    </w:lvl>
    <w:lvl w:ilvl="2">
      <w:start w:val="1"/>
      <w:numFmt w:val="decimal"/>
      <w:lvlText w:val="%1.%2.%3."/>
      <w:lvlJc w:val="left"/>
      <w:pPr>
        <w:ind w:left="2160" w:hanging="720"/>
      </w:pPr>
      <w:rPr>
        <w:color w:val="auto"/>
      </w:rPr>
    </w:lvl>
    <w:lvl w:ilvl="3">
      <w:start w:val="1"/>
      <w:numFmt w:val="decimal"/>
      <w:lvlText w:val="%1.%2.%3.%4."/>
      <w:lvlJc w:val="left"/>
      <w:pPr>
        <w:ind w:left="2880" w:hanging="720"/>
      </w:pPr>
      <w:rPr>
        <w:color w:val="auto"/>
      </w:rPr>
    </w:lvl>
    <w:lvl w:ilvl="4">
      <w:start w:val="1"/>
      <w:numFmt w:val="decimal"/>
      <w:lvlText w:val="%1.%2.%3.%4.%5."/>
      <w:lvlJc w:val="left"/>
      <w:pPr>
        <w:ind w:left="3960" w:hanging="1080"/>
      </w:pPr>
      <w:rPr>
        <w:color w:val="auto"/>
      </w:rPr>
    </w:lvl>
    <w:lvl w:ilvl="5">
      <w:start w:val="1"/>
      <w:numFmt w:val="decimal"/>
      <w:lvlText w:val="%1.%2.%3.%4.%5.%6."/>
      <w:lvlJc w:val="left"/>
      <w:pPr>
        <w:ind w:left="4680" w:hanging="1080"/>
      </w:pPr>
      <w:rPr>
        <w:color w:val="auto"/>
      </w:rPr>
    </w:lvl>
    <w:lvl w:ilvl="6">
      <w:start w:val="1"/>
      <w:numFmt w:val="decimal"/>
      <w:lvlText w:val="%1.%2.%3.%4.%5.%6.%7."/>
      <w:lvlJc w:val="left"/>
      <w:pPr>
        <w:ind w:left="5760" w:hanging="1440"/>
      </w:pPr>
      <w:rPr>
        <w:color w:val="auto"/>
      </w:rPr>
    </w:lvl>
    <w:lvl w:ilvl="7">
      <w:start w:val="1"/>
      <w:numFmt w:val="decimal"/>
      <w:lvlText w:val="%1.%2.%3.%4.%5.%6.%7.%8."/>
      <w:lvlJc w:val="left"/>
      <w:pPr>
        <w:ind w:left="6480" w:hanging="1440"/>
      </w:pPr>
      <w:rPr>
        <w:color w:val="auto"/>
      </w:rPr>
    </w:lvl>
    <w:lvl w:ilvl="8">
      <w:start w:val="1"/>
      <w:numFmt w:val="decimal"/>
      <w:lvlText w:val="%1.%2.%3.%4.%5.%6.%7.%8.%9."/>
      <w:lvlJc w:val="left"/>
      <w:pPr>
        <w:ind w:left="7560" w:hanging="1800"/>
      </w:pPr>
      <w:rPr>
        <w:color w:val="auto"/>
      </w:rPr>
    </w:lvl>
  </w:abstractNum>
  <w:abstractNum w:abstractNumId="1" w15:restartNumberingAfterBreak="0">
    <w:nsid w:val="44E12E94"/>
    <w:multiLevelType w:val="hybridMultilevel"/>
    <w:tmpl w:val="CAB4E826"/>
    <w:lvl w:ilvl="0" w:tplc="61625420">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46F86360"/>
    <w:multiLevelType w:val="hybridMultilevel"/>
    <w:tmpl w:val="0FB6F6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79811B5"/>
    <w:multiLevelType w:val="hybridMultilevel"/>
    <w:tmpl w:val="1138CD1E"/>
    <w:lvl w:ilvl="0" w:tplc="0415000B">
      <w:start w:val="1"/>
      <w:numFmt w:val="bullet"/>
      <w:lvlText w:val=""/>
      <w:lvlJc w:val="left"/>
      <w:pPr>
        <w:ind w:left="643" w:hanging="360"/>
      </w:pPr>
      <w:rPr>
        <w:rFonts w:ascii="Wingdings" w:hAnsi="Wingdings" w:hint="default"/>
      </w:rPr>
    </w:lvl>
    <w:lvl w:ilvl="1" w:tplc="04150003">
      <w:start w:val="1"/>
      <w:numFmt w:val="bullet"/>
      <w:lvlText w:val="o"/>
      <w:lvlJc w:val="left"/>
      <w:pPr>
        <w:ind w:left="1363" w:hanging="360"/>
      </w:pPr>
      <w:rPr>
        <w:rFonts w:ascii="Courier New" w:hAnsi="Courier New" w:cs="Courier New" w:hint="default"/>
      </w:rPr>
    </w:lvl>
    <w:lvl w:ilvl="2" w:tplc="04150005">
      <w:start w:val="1"/>
      <w:numFmt w:val="bullet"/>
      <w:lvlText w:val=""/>
      <w:lvlJc w:val="left"/>
      <w:pPr>
        <w:ind w:left="2083" w:hanging="360"/>
      </w:pPr>
      <w:rPr>
        <w:rFonts w:ascii="Wingdings" w:hAnsi="Wingdings" w:hint="default"/>
      </w:rPr>
    </w:lvl>
    <w:lvl w:ilvl="3" w:tplc="04150001">
      <w:start w:val="1"/>
      <w:numFmt w:val="bullet"/>
      <w:lvlText w:val=""/>
      <w:lvlJc w:val="left"/>
      <w:pPr>
        <w:ind w:left="2803" w:hanging="360"/>
      </w:pPr>
      <w:rPr>
        <w:rFonts w:ascii="Symbol" w:hAnsi="Symbol" w:hint="default"/>
      </w:rPr>
    </w:lvl>
    <w:lvl w:ilvl="4" w:tplc="04150003">
      <w:start w:val="1"/>
      <w:numFmt w:val="bullet"/>
      <w:lvlText w:val="o"/>
      <w:lvlJc w:val="left"/>
      <w:pPr>
        <w:ind w:left="3523" w:hanging="360"/>
      </w:pPr>
      <w:rPr>
        <w:rFonts w:ascii="Courier New" w:hAnsi="Courier New" w:cs="Courier New" w:hint="default"/>
      </w:rPr>
    </w:lvl>
    <w:lvl w:ilvl="5" w:tplc="04150005">
      <w:start w:val="1"/>
      <w:numFmt w:val="bullet"/>
      <w:lvlText w:val=""/>
      <w:lvlJc w:val="left"/>
      <w:pPr>
        <w:ind w:left="4243" w:hanging="360"/>
      </w:pPr>
      <w:rPr>
        <w:rFonts w:ascii="Wingdings" w:hAnsi="Wingdings" w:hint="default"/>
      </w:rPr>
    </w:lvl>
    <w:lvl w:ilvl="6" w:tplc="04150001">
      <w:start w:val="1"/>
      <w:numFmt w:val="bullet"/>
      <w:lvlText w:val=""/>
      <w:lvlJc w:val="left"/>
      <w:pPr>
        <w:ind w:left="4963" w:hanging="360"/>
      </w:pPr>
      <w:rPr>
        <w:rFonts w:ascii="Symbol" w:hAnsi="Symbol" w:hint="default"/>
      </w:rPr>
    </w:lvl>
    <w:lvl w:ilvl="7" w:tplc="04150003">
      <w:start w:val="1"/>
      <w:numFmt w:val="bullet"/>
      <w:lvlText w:val="o"/>
      <w:lvlJc w:val="left"/>
      <w:pPr>
        <w:ind w:left="5683" w:hanging="360"/>
      </w:pPr>
      <w:rPr>
        <w:rFonts w:ascii="Courier New" w:hAnsi="Courier New" w:cs="Courier New" w:hint="default"/>
      </w:rPr>
    </w:lvl>
    <w:lvl w:ilvl="8" w:tplc="04150005">
      <w:start w:val="1"/>
      <w:numFmt w:val="bullet"/>
      <w:lvlText w:val=""/>
      <w:lvlJc w:val="left"/>
      <w:pPr>
        <w:ind w:left="6403" w:hanging="360"/>
      </w:pPr>
      <w:rPr>
        <w:rFonts w:ascii="Wingdings" w:hAnsi="Wingdings" w:hint="default"/>
      </w:rPr>
    </w:lvl>
  </w:abstractNum>
  <w:abstractNum w:abstractNumId="4" w15:restartNumberingAfterBreak="0">
    <w:nsid w:val="686A7253"/>
    <w:multiLevelType w:val="multilevel"/>
    <w:tmpl w:val="3D1A8576"/>
    <w:lvl w:ilvl="0">
      <w:start w:val="2"/>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99E"/>
    <w:rsid w:val="002607B2"/>
    <w:rsid w:val="004C1D45"/>
    <w:rsid w:val="007A45BC"/>
    <w:rsid w:val="00813F74"/>
    <w:rsid w:val="0087199E"/>
    <w:rsid w:val="00996374"/>
    <w:rsid w:val="00E013A4"/>
    <w:rsid w:val="00F367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70045"/>
  <w15:chartTrackingRefBased/>
  <w15:docId w15:val="{844B6AD3-1A5E-440C-828A-DDA031854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199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unhideWhenUsed/>
    <w:rsid w:val="0087199E"/>
    <w:pPr>
      <w:ind w:left="360"/>
    </w:pPr>
    <w:rPr>
      <w:lang w:val="x-none" w:eastAsia="x-none"/>
    </w:rPr>
  </w:style>
  <w:style w:type="character" w:customStyle="1" w:styleId="TekstpodstawowywcityZnak">
    <w:name w:val="Tekst podstawowy wcięty Znak"/>
    <w:basedOn w:val="Domylnaczcionkaakapitu"/>
    <w:link w:val="Tekstpodstawowywcity"/>
    <w:semiHidden/>
    <w:rsid w:val="0087199E"/>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87199E"/>
    <w:pPr>
      <w:ind w:left="720"/>
      <w:contextualSpacing/>
      <w:jc w:val="both"/>
    </w:pPr>
    <w:rPr>
      <w:rFonts w:ascii="Calibri" w:eastAsia="Calibri" w:hAnsi="Calibri"/>
      <w:sz w:val="22"/>
      <w:szCs w:val="22"/>
      <w:lang w:eastAsia="en-US"/>
    </w:rPr>
  </w:style>
  <w:style w:type="paragraph" w:styleId="Nagwek">
    <w:name w:val="header"/>
    <w:basedOn w:val="Normalny"/>
    <w:link w:val="NagwekZnak"/>
    <w:uiPriority w:val="99"/>
    <w:unhideWhenUsed/>
    <w:rsid w:val="00F3676E"/>
    <w:pPr>
      <w:tabs>
        <w:tab w:val="center" w:pos="4536"/>
        <w:tab w:val="right" w:pos="9072"/>
      </w:tabs>
    </w:pPr>
  </w:style>
  <w:style w:type="character" w:customStyle="1" w:styleId="NagwekZnak">
    <w:name w:val="Nagłówek Znak"/>
    <w:basedOn w:val="Domylnaczcionkaakapitu"/>
    <w:link w:val="Nagwek"/>
    <w:uiPriority w:val="99"/>
    <w:rsid w:val="00F3676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3676E"/>
    <w:pPr>
      <w:tabs>
        <w:tab w:val="center" w:pos="4536"/>
        <w:tab w:val="right" w:pos="9072"/>
      </w:tabs>
    </w:pPr>
  </w:style>
  <w:style w:type="character" w:customStyle="1" w:styleId="StopkaZnak">
    <w:name w:val="Stopka Znak"/>
    <w:basedOn w:val="Domylnaczcionkaakapitu"/>
    <w:link w:val="Stopka"/>
    <w:uiPriority w:val="99"/>
    <w:rsid w:val="00F3676E"/>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61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558</Words>
  <Characters>3350</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Janiak</dc:creator>
  <cp:keywords/>
  <dc:description/>
  <cp:lastModifiedBy>Tomasz Maćczak</cp:lastModifiedBy>
  <cp:revision>4</cp:revision>
  <cp:lastPrinted>2019-10-30T13:29:00Z</cp:lastPrinted>
  <dcterms:created xsi:type="dcterms:W3CDTF">2019-12-03T13:29:00Z</dcterms:created>
  <dcterms:modified xsi:type="dcterms:W3CDTF">2019-12-19T08:00:00Z</dcterms:modified>
</cp:coreProperties>
</file>