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57431" w14:textId="77777777" w:rsidR="00ED6FE6" w:rsidRPr="005A6233" w:rsidRDefault="00C7125B" w:rsidP="005A6233">
      <w:pPr>
        <w:pStyle w:val="Nagwek1"/>
      </w:pPr>
      <w:r w:rsidRPr="005A6233">
        <w:t xml:space="preserve">Zarządzenie nr </w:t>
      </w:r>
      <w:r w:rsidR="00EF17D7" w:rsidRPr="005A6233">
        <w:t>361/2020</w:t>
      </w:r>
    </w:p>
    <w:p w14:paraId="5C173532" w14:textId="77777777" w:rsidR="00ED6FE6" w:rsidRPr="005A6233" w:rsidRDefault="00C7125B" w:rsidP="005A6233">
      <w:pPr>
        <w:pStyle w:val="Nagwek1"/>
      </w:pPr>
      <w:r w:rsidRPr="005A6233">
        <w:t>Prezydenta Miasta Włocławek</w:t>
      </w:r>
    </w:p>
    <w:p w14:paraId="01609E41" w14:textId="77777777" w:rsidR="00ED6FE6" w:rsidRPr="00624435" w:rsidRDefault="00C7125B" w:rsidP="005A6233">
      <w:pPr>
        <w:pStyle w:val="Nagwek1"/>
      </w:pPr>
      <w:r w:rsidRPr="005A6233">
        <w:t>z dnia</w:t>
      </w:r>
      <w:r w:rsidR="00EF17D7" w:rsidRPr="005A6233">
        <w:t xml:space="preserve"> 12 października 2020 r.</w:t>
      </w:r>
    </w:p>
    <w:p w14:paraId="72A3C3FB" w14:textId="77777777" w:rsidR="00ED6FE6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w sprawie powołania Komisji Oceny Projektów Inwestycji dla zadań prowadzonych przez Wydział Inwestycji Gminy Miasto Włocławek</w:t>
      </w:r>
    </w:p>
    <w:p w14:paraId="0FA26003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Na podstawie art. 33 ust. 1 i ust.3 ustawy z dnia 8 marca 1990 roku o samorządzie gminnym (Dz.U. 20</w:t>
      </w:r>
      <w:r w:rsidR="00610402" w:rsidRPr="00624435">
        <w:rPr>
          <w:rFonts w:ascii="Arial" w:hAnsi="Arial" w:cs="Arial"/>
          <w:sz w:val="24"/>
          <w:szCs w:val="24"/>
        </w:rPr>
        <w:t>20</w:t>
      </w:r>
      <w:r w:rsidR="00DD072D" w:rsidRPr="00624435">
        <w:rPr>
          <w:rFonts w:ascii="Arial" w:hAnsi="Arial" w:cs="Arial"/>
          <w:sz w:val="24"/>
          <w:szCs w:val="24"/>
        </w:rPr>
        <w:t>,</w:t>
      </w:r>
      <w:r w:rsidR="00ED6FE6" w:rsidRPr="00624435">
        <w:rPr>
          <w:rFonts w:ascii="Arial" w:hAnsi="Arial" w:cs="Arial"/>
          <w:sz w:val="24"/>
          <w:szCs w:val="24"/>
        </w:rPr>
        <w:t xml:space="preserve"> poz. </w:t>
      </w:r>
      <w:r w:rsidR="00610402" w:rsidRPr="00624435">
        <w:rPr>
          <w:rFonts w:ascii="Arial" w:hAnsi="Arial" w:cs="Arial"/>
          <w:sz w:val="24"/>
          <w:szCs w:val="24"/>
        </w:rPr>
        <w:t>713</w:t>
      </w:r>
      <w:r w:rsidRPr="00624435">
        <w:rPr>
          <w:rFonts w:ascii="Arial" w:hAnsi="Arial" w:cs="Arial"/>
          <w:sz w:val="24"/>
          <w:szCs w:val="24"/>
        </w:rPr>
        <w:t>)</w:t>
      </w:r>
    </w:p>
    <w:p w14:paraId="6349FA6D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Zarządzam co następuje:</w:t>
      </w:r>
    </w:p>
    <w:p w14:paraId="28190F4D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§1</w:t>
      </w:r>
      <w:r w:rsidR="009A7B3F" w:rsidRPr="00624435">
        <w:rPr>
          <w:rFonts w:ascii="Arial" w:hAnsi="Arial" w:cs="Arial"/>
          <w:sz w:val="24"/>
          <w:szCs w:val="24"/>
        </w:rPr>
        <w:t>.1. Powołuję</w:t>
      </w:r>
      <w:r w:rsidRPr="00624435">
        <w:rPr>
          <w:rFonts w:ascii="Arial" w:hAnsi="Arial" w:cs="Arial"/>
          <w:sz w:val="24"/>
          <w:szCs w:val="24"/>
        </w:rPr>
        <w:t xml:space="preserve"> Komisję Oceny Projektów I</w:t>
      </w:r>
      <w:r w:rsidR="009A7B3F" w:rsidRPr="00624435">
        <w:rPr>
          <w:rFonts w:ascii="Arial" w:hAnsi="Arial" w:cs="Arial"/>
          <w:sz w:val="24"/>
          <w:szCs w:val="24"/>
        </w:rPr>
        <w:t>nwestycji, zwanej dalej „Komisją</w:t>
      </w:r>
      <w:r w:rsidRPr="00624435">
        <w:rPr>
          <w:rFonts w:ascii="Arial" w:hAnsi="Arial" w:cs="Arial"/>
          <w:sz w:val="24"/>
          <w:szCs w:val="24"/>
        </w:rPr>
        <w:t>”</w:t>
      </w:r>
      <w:r w:rsidR="009A7B3F" w:rsidRPr="00624435">
        <w:rPr>
          <w:rFonts w:ascii="Arial" w:hAnsi="Arial" w:cs="Arial"/>
          <w:sz w:val="24"/>
          <w:szCs w:val="24"/>
        </w:rPr>
        <w:t>.</w:t>
      </w:r>
    </w:p>
    <w:p w14:paraId="646CBF6F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W skład Komisji wchodzą:</w:t>
      </w:r>
    </w:p>
    <w:p w14:paraId="37469A06" w14:textId="77777777" w:rsidR="0058382B" w:rsidRDefault="00C7125B" w:rsidP="0062443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przewodniczący: koordynator d/s przygotowania inwestycji w Wydziale Inwestycji,</w:t>
      </w:r>
    </w:p>
    <w:p w14:paraId="793FB84C" w14:textId="01AF25B7" w:rsidR="00C7125B" w:rsidRPr="0058382B" w:rsidRDefault="00C7125B" w:rsidP="0062443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członkowie:</w:t>
      </w:r>
    </w:p>
    <w:p w14:paraId="1C8E2E67" w14:textId="660F02DD" w:rsidR="00C7125B" w:rsidRPr="00624435" w:rsidRDefault="00C7125B" w:rsidP="0062443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przedstawiciel Wydziału Urbanistyki i Architektury,</w:t>
      </w:r>
    </w:p>
    <w:p w14:paraId="1596E363" w14:textId="04106DB2" w:rsidR="00C7125B" w:rsidRPr="00624435" w:rsidRDefault="00C7125B" w:rsidP="0062443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przewodniczący narady koordynacyjnej,</w:t>
      </w:r>
    </w:p>
    <w:p w14:paraId="589E08C2" w14:textId="7360BE5F" w:rsidR="00C7125B" w:rsidRPr="00624435" w:rsidRDefault="00C7125B" w:rsidP="0062443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 xml:space="preserve">przedstawiciel Miejskiego Zarządu </w:t>
      </w:r>
      <w:r w:rsidR="00282EAD" w:rsidRPr="00624435">
        <w:rPr>
          <w:rFonts w:ascii="Arial" w:hAnsi="Arial" w:cs="Arial"/>
          <w:sz w:val="24"/>
          <w:szCs w:val="24"/>
        </w:rPr>
        <w:t>Infrastruktury Drogowej i Transportu we Włocławku</w:t>
      </w:r>
      <w:r w:rsidRPr="00624435">
        <w:rPr>
          <w:rFonts w:ascii="Arial" w:hAnsi="Arial" w:cs="Arial"/>
          <w:sz w:val="24"/>
          <w:szCs w:val="24"/>
        </w:rPr>
        <w:t>,</w:t>
      </w:r>
    </w:p>
    <w:p w14:paraId="41C2D25E" w14:textId="41111C2E" w:rsidR="00C7125B" w:rsidRPr="00624435" w:rsidRDefault="00C7125B" w:rsidP="0062443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branżowi inspektorzy nadzoru wyznaczeni przez zastępcę dyrektora Wydziału Inwestycji</w:t>
      </w:r>
    </w:p>
    <w:p w14:paraId="6A0D3C75" w14:textId="7BCDD2B1" w:rsidR="00C7125B" w:rsidRPr="00624435" w:rsidRDefault="00C7125B" w:rsidP="0062443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pracownik wydziału merytorycznego lub jednostki gminnej (przyszłego użytkownika) wyznaczony przez jego dyrektora,</w:t>
      </w:r>
    </w:p>
    <w:p w14:paraId="18D54C51" w14:textId="1BC012E1" w:rsidR="00C7125B" w:rsidRPr="0058382B" w:rsidRDefault="00C7125B" w:rsidP="0058382B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 xml:space="preserve">sekretarz: pracownik Referatu </w:t>
      </w:r>
      <w:r w:rsidR="00142BE9" w:rsidRPr="0058382B">
        <w:rPr>
          <w:rFonts w:ascii="Arial" w:hAnsi="Arial" w:cs="Arial"/>
          <w:sz w:val="24"/>
          <w:szCs w:val="24"/>
        </w:rPr>
        <w:t>Planowania i Przygotowania</w:t>
      </w:r>
      <w:r w:rsidR="00574C28">
        <w:rPr>
          <w:rFonts w:ascii="Arial" w:hAnsi="Arial" w:cs="Arial"/>
          <w:sz w:val="24"/>
          <w:szCs w:val="24"/>
        </w:rPr>
        <w:t xml:space="preserve"> </w:t>
      </w:r>
      <w:r w:rsidRPr="0058382B">
        <w:rPr>
          <w:rFonts w:ascii="Arial" w:hAnsi="Arial" w:cs="Arial"/>
          <w:sz w:val="24"/>
          <w:szCs w:val="24"/>
        </w:rPr>
        <w:t xml:space="preserve">Inwestycji prowadzący przygotowanie </w:t>
      </w:r>
      <w:r w:rsidR="00142BE9" w:rsidRPr="0058382B">
        <w:rPr>
          <w:rFonts w:ascii="Arial" w:hAnsi="Arial" w:cs="Arial"/>
          <w:sz w:val="24"/>
          <w:szCs w:val="24"/>
        </w:rPr>
        <w:t>zadania, którego dotyczy projekt będący</w:t>
      </w:r>
      <w:r w:rsidRPr="0058382B">
        <w:rPr>
          <w:rFonts w:ascii="Arial" w:hAnsi="Arial" w:cs="Arial"/>
          <w:sz w:val="24"/>
          <w:szCs w:val="24"/>
        </w:rPr>
        <w:t xml:space="preserve"> przedmiotem obrad.</w:t>
      </w:r>
    </w:p>
    <w:p w14:paraId="49DD83E9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3. Dla oceny konkretnego projektu lub jego części dyrektor Wydziału Inwestycji może na wniosek przewodniczącego Komisji powołać do jego składu inne osoby (</w:t>
      </w:r>
      <w:r w:rsidR="00ED6FE6" w:rsidRPr="00624435">
        <w:rPr>
          <w:rFonts w:ascii="Arial" w:hAnsi="Arial" w:cs="Arial"/>
          <w:sz w:val="24"/>
          <w:szCs w:val="24"/>
        </w:rPr>
        <w:t xml:space="preserve">w szczególności </w:t>
      </w:r>
      <w:r w:rsidRPr="00624435">
        <w:rPr>
          <w:rFonts w:ascii="Arial" w:hAnsi="Arial" w:cs="Arial"/>
          <w:sz w:val="24"/>
          <w:szCs w:val="24"/>
        </w:rPr>
        <w:t>eksperci specjaliści) oraz zaprosić przedstawiciela wykonawcy tego projektu.</w:t>
      </w:r>
    </w:p>
    <w:p w14:paraId="521A5C3B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§2</w:t>
      </w:r>
      <w:r w:rsidRPr="00624435">
        <w:rPr>
          <w:rFonts w:ascii="Arial" w:hAnsi="Arial" w:cs="Arial"/>
          <w:sz w:val="24"/>
          <w:szCs w:val="24"/>
        </w:rPr>
        <w:t>.1. Komisja dokonuje:</w:t>
      </w:r>
    </w:p>
    <w:p w14:paraId="28AC3B27" w14:textId="77777777" w:rsidR="0058382B" w:rsidRDefault="00C7125B" w:rsidP="00624435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 xml:space="preserve">zatwierdzenia wytycznych do projektowania dla opracowania dokumentacji budowlano-wykonawczej lub programu </w:t>
      </w:r>
      <w:r w:rsidR="00282EAD" w:rsidRPr="0058382B">
        <w:rPr>
          <w:rFonts w:ascii="Arial" w:hAnsi="Arial" w:cs="Arial"/>
          <w:sz w:val="24"/>
          <w:szCs w:val="24"/>
        </w:rPr>
        <w:t>funkcjonalno-użytkowego</w:t>
      </w:r>
      <w:r w:rsidRPr="0058382B">
        <w:rPr>
          <w:rFonts w:ascii="Arial" w:hAnsi="Arial" w:cs="Arial"/>
          <w:sz w:val="24"/>
          <w:szCs w:val="24"/>
        </w:rPr>
        <w:t>,</w:t>
      </w:r>
    </w:p>
    <w:p w14:paraId="3E551024" w14:textId="666D13D0" w:rsidR="00C7125B" w:rsidRPr="0058382B" w:rsidRDefault="00C7125B" w:rsidP="00624435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oceny opracowanej dokumentacji budowla</w:t>
      </w:r>
      <w:r w:rsidR="00142BE9" w:rsidRPr="0058382B">
        <w:rPr>
          <w:rFonts w:ascii="Arial" w:hAnsi="Arial" w:cs="Arial"/>
          <w:sz w:val="24"/>
          <w:szCs w:val="24"/>
        </w:rPr>
        <w:t>no-wykonawczej (programu funkcjonalno-użytkowego) pod k</w:t>
      </w:r>
      <w:r w:rsidR="00DB7EA3" w:rsidRPr="0058382B">
        <w:rPr>
          <w:rFonts w:ascii="Arial" w:hAnsi="Arial" w:cs="Arial"/>
          <w:sz w:val="24"/>
          <w:szCs w:val="24"/>
        </w:rPr>
        <w:t>ą</w:t>
      </w:r>
      <w:r w:rsidR="00142BE9" w:rsidRPr="0058382B">
        <w:rPr>
          <w:rFonts w:ascii="Arial" w:hAnsi="Arial" w:cs="Arial"/>
          <w:sz w:val="24"/>
          <w:szCs w:val="24"/>
        </w:rPr>
        <w:t>tem zgodności</w:t>
      </w:r>
      <w:r w:rsidR="00574C28">
        <w:rPr>
          <w:rFonts w:ascii="Arial" w:hAnsi="Arial" w:cs="Arial"/>
          <w:sz w:val="24"/>
          <w:szCs w:val="24"/>
        </w:rPr>
        <w:t xml:space="preserve"> </w:t>
      </w:r>
      <w:r w:rsidR="00142BE9" w:rsidRPr="0058382B">
        <w:rPr>
          <w:rFonts w:ascii="Arial" w:hAnsi="Arial" w:cs="Arial"/>
          <w:sz w:val="24"/>
          <w:szCs w:val="24"/>
        </w:rPr>
        <w:t>z zawartą umową oraz pod kątem czytelności proponowanych rozwiązań technicznych.</w:t>
      </w:r>
    </w:p>
    <w:p w14:paraId="6059070C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Do kompetencji Komisji należą:</w:t>
      </w:r>
    </w:p>
    <w:p w14:paraId="52704C9F" w14:textId="48F1DDC7" w:rsidR="00C7125B" w:rsidRPr="0058382B" w:rsidRDefault="00C7125B" w:rsidP="0058382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w zakresie zatwierdzania wytycznych o których mowa w pkt. 1a):</w:t>
      </w:r>
    </w:p>
    <w:p w14:paraId="393853DE" w14:textId="237DEB03" w:rsidR="00C7125B" w:rsidRPr="0058382B" w:rsidRDefault="00C7125B" w:rsidP="0058382B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ustalanie zakresu planowanej inwestycji,</w:t>
      </w:r>
    </w:p>
    <w:p w14:paraId="40F638E6" w14:textId="0EA45DED" w:rsidR="00C7125B" w:rsidRPr="0058382B" w:rsidRDefault="00C7125B" w:rsidP="0058382B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t>określanie dopuszczalnych rozwiązań technicznych,</w:t>
      </w:r>
    </w:p>
    <w:p w14:paraId="40F1B3CF" w14:textId="5DDD40B4" w:rsidR="00C7125B" w:rsidRPr="0058382B" w:rsidRDefault="00C7125B" w:rsidP="0058382B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8382B">
        <w:rPr>
          <w:rFonts w:ascii="Arial" w:hAnsi="Arial" w:cs="Arial"/>
          <w:sz w:val="24"/>
          <w:szCs w:val="24"/>
        </w:rPr>
        <w:lastRenderedPageBreak/>
        <w:t>określenie danych w zakresie racjonalnych kosztów inwestycyjnych i eksploatacyjnych.</w:t>
      </w:r>
    </w:p>
    <w:p w14:paraId="138BE764" w14:textId="346D32CD" w:rsidR="00C7125B" w:rsidRPr="005125C4" w:rsidRDefault="00C7125B" w:rsidP="005125C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w zakresie oceny opracowanej dokumentacji (programu funkcjonalno-użytkowego):</w:t>
      </w:r>
    </w:p>
    <w:p w14:paraId="79389CF9" w14:textId="022C1FCA" w:rsidR="00C7125B" w:rsidRPr="005125C4" w:rsidRDefault="00C7125B" w:rsidP="005125C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ustalenie zgodności z zamówieniem i wytycznymi o których mowa ppkt a),</w:t>
      </w:r>
    </w:p>
    <w:p w14:paraId="0BEAFEC3" w14:textId="66C2F9DE" w:rsidR="00C7125B" w:rsidRPr="005125C4" w:rsidRDefault="00C7125B" w:rsidP="005125C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ustalenie kompletności i czytelności,</w:t>
      </w:r>
    </w:p>
    <w:p w14:paraId="513C2D85" w14:textId="40BF74B6" w:rsidR="00C7125B" w:rsidRPr="005125C4" w:rsidRDefault="00C7125B" w:rsidP="005125C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ustalenie zgodności z wymogami przewidzian</w:t>
      </w:r>
      <w:r w:rsidR="00282EAD" w:rsidRPr="005125C4">
        <w:rPr>
          <w:rFonts w:ascii="Arial" w:hAnsi="Arial" w:cs="Arial"/>
          <w:sz w:val="24"/>
          <w:szCs w:val="24"/>
        </w:rPr>
        <w:t>ymi prawem zamówień publicznych oraz obowiązującymi przepisami, którym inwestycja musi odpowiadać</w:t>
      </w:r>
    </w:p>
    <w:p w14:paraId="0CAB2761" w14:textId="2A5A4866" w:rsidR="00C7125B" w:rsidRPr="005125C4" w:rsidRDefault="00C7125B" w:rsidP="005125C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ustalenie zgodności pod względem zakresu i przyjętych rozwiązań z warunkami technicznymi gestorów sieci i ustaleniami narady koordynacyjnej,</w:t>
      </w:r>
    </w:p>
    <w:p w14:paraId="1D126279" w14:textId="3F7E5BE2" w:rsidR="00C7125B" w:rsidRPr="005125C4" w:rsidRDefault="00C7125B" w:rsidP="005125C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25C4">
        <w:rPr>
          <w:rFonts w:ascii="Arial" w:hAnsi="Arial" w:cs="Arial"/>
          <w:sz w:val="24"/>
          <w:szCs w:val="24"/>
        </w:rPr>
        <w:t>analiza funkcjonalności i racjonalności dla potrzeb przyszłego użytkownika,</w:t>
      </w:r>
    </w:p>
    <w:p w14:paraId="65587234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§3</w:t>
      </w:r>
      <w:r w:rsidRPr="00624435">
        <w:rPr>
          <w:rFonts w:ascii="Arial" w:hAnsi="Arial" w:cs="Arial"/>
          <w:sz w:val="24"/>
          <w:szCs w:val="24"/>
        </w:rPr>
        <w:t>.1. Regulamin Pracy Komisji stanowi załącznik do niniejszego Zarządzenia.</w:t>
      </w:r>
    </w:p>
    <w:p w14:paraId="0D222237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Obsługę kancelaryjno-techniczną sprawuje Wydział Inwestycji</w:t>
      </w:r>
    </w:p>
    <w:p w14:paraId="71874BFA" w14:textId="77777777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§4</w:t>
      </w:r>
      <w:r w:rsidRPr="00624435">
        <w:rPr>
          <w:rFonts w:ascii="Arial" w:hAnsi="Arial" w:cs="Arial"/>
          <w:sz w:val="24"/>
          <w:szCs w:val="24"/>
        </w:rPr>
        <w:t>. Wykonanie Zarządzenia i nadzór nad pracami Komisji powierza się dyrektorowi Wydziału Inwestycji.</w:t>
      </w:r>
    </w:p>
    <w:p w14:paraId="6E7AB845" w14:textId="22B3DAE5" w:rsidR="00C7125B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bCs/>
          <w:sz w:val="24"/>
          <w:szCs w:val="24"/>
        </w:rPr>
        <w:t>§5</w:t>
      </w:r>
      <w:r w:rsidR="00282EAD" w:rsidRPr="00624435">
        <w:rPr>
          <w:rFonts w:ascii="Arial" w:hAnsi="Arial" w:cs="Arial"/>
          <w:sz w:val="24"/>
          <w:szCs w:val="24"/>
        </w:rPr>
        <w:t>.1. Traci moc Zarządzenie nr</w:t>
      </w:r>
      <w:r w:rsidR="00574C28">
        <w:rPr>
          <w:rFonts w:ascii="Arial" w:hAnsi="Arial" w:cs="Arial"/>
          <w:sz w:val="24"/>
          <w:szCs w:val="24"/>
        </w:rPr>
        <w:t xml:space="preserve"> </w:t>
      </w:r>
      <w:r w:rsidR="00282EAD" w:rsidRPr="00624435">
        <w:rPr>
          <w:rFonts w:ascii="Arial" w:hAnsi="Arial" w:cs="Arial"/>
          <w:sz w:val="24"/>
          <w:szCs w:val="24"/>
        </w:rPr>
        <w:t>177/</w:t>
      </w:r>
      <w:r w:rsidRPr="00624435">
        <w:rPr>
          <w:rFonts w:ascii="Arial" w:hAnsi="Arial" w:cs="Arial"/>
          <w:sz w:val="24"/>
          <w:szCs w:val="24"/>
        </w:rPr>
        <w:t>201</w:t>
      </w:r>
      <w:r w:rsidR="00282EAD" w:rsidRPr="00624435">
        <w:rPr>
          <w:rFonts w:ascii="Arial" w:hAnsi="Arial" w:cs="Arial"/>
          <w:sz w:val="24"/>
          <w:szCs w:val="24"/>
        </w:rPr>
        <w:t>7</w:t>
      </w:r>
      <w:r w:rsidRPr="00624435">
        <w:rPr>
          <w:rFonts w:ascii="Arial" w:hAnsi="Arial" w:cs="Arial"/>
          <w:sz w:val="24"/>
          <w:szCs w:val="24"/>
        </w:rPr>
        <w:t xml:space="preserve"> Prezydenta Miasta Włocławek z dnia </w:t>
      </w:r>
      <w:r w:rsidR="00282EAD" w:rsidRPr="00624435">
        <w:rPr>
          <w:rFonts w:ascii="Arial" w:hAnsi="Arial" w:cs="Arial"/>
          <w:sz w:val="24"/>
          <w:szCs w:val="24"/>
        </w:rPr>
        <w:t>7 lipca 2017r.</w:t>
      </w:r>
      <w:r w:rsidR="00ED6FE6" w:rsidRPr="00624435">
        <w:rPr>
          <w:rFonts w:ascii="Arial" w:hAnsi="Arial" w:cs="Arial"/>
          <w:sz w:val="24"/>
          <w:szCs w:val="24"/>
        </w:rPr>
        <w:t xml:space="preserve"> w</w:t>
      </w:r>
      <w:r w:rsidR="00DB7EA3" w:rsidRPr="00624435">
        <w:rPr>
          <w:rFonts w:ascii="Arial" w:hAnsi="Arial" w:cs="Arial"/>
          <w:sz w:val="24"/>
          <w:szCs w:val="24"/>
        </w:rPr>
        <w:t> </w:t>
      </w:r>
      <w:r w:rsidR="00ED6FE6" w:rsidRPr="00624435">
        <w:rPr>
          <w:rFonts w:ascii="Arial" w:hAnsi="Arial" w:cs="Arial"/>
          <w:sz w:val="24"/>
          <w:szCs w:val="24"/>
        </w:rPr>
        <w:t>sprawie powołania Komisji Oceny Projektów Inwestycji</w:t>
      </w:r>
      <w:r w:rsidR="00DB7EA3" w:rsidRPr="00624435">
        <w:rPr>
          <w:rFonts w:ascii="Arial" w:hAnsi="Arial" w:cs="Arial"/>
          <w:sz w:val="24"/>
          <w:szCs w:val="24"/>
        </w:rPr>
        <w:t>.</w:t>
      </w:r>
    </w:p>
    <w:p w14:paraId="74FC120B" w14:textId="77777777" w:rsidR="00DB7EA3" w:rsidRPr="00624435" w:rsidRDefault="00C7125B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Zarządzenie wchodzi w życie z dniem podpisania i podlega podaniu do publicznej wiadomości poprzez ogłoszenie w Biuletynie Informacji Publicznej Urzędu Miasta Włocławek.</w:t>
      </w:r>
    </w:p>
    <w:p w14:paraId="054D2E41" w14:textId="77777777" w:rsidR="0015651D" w:rsidRPr="00624435" w:rsidRDefault="0015651D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br w:type="page"/>
      </w:r>
    </w:p>
    <w:p w14:paraId="7CF429A2" w14:textId="77777777" w:rsidR="007F091A" w:rsidRPr="00624435" w:rsidRDefault="007F091A" w:rsidP="005A6233">
      <w:pPr>
        <w:pStyle w:val="Nagwek1"/>
      </w:pPr>
      <w:r w:rsidRPr="00624435">
        <w:lastRenderedPageBreak/>
        <w:t>UZASADNIENIE</w:t>
      </w:r>
    </w:p>
    <w:p w14:paraId="3DEE2AA1" w14:textId="77777777" w:rsidR="007F091A" w:rsidRPr="00624435" w:rsidRDefault="007F091A" w:rsidP="00624435">
      <w:pPr>
        <w:rPr>
          <w:rFonts w:ascii="Arial" w:hAnsi="Arial" w:cs="Arial"/>
          <w:sz w:val="24"/>
          <w:szCs w:val="24"/>
        </w:rPr>
      </w:pPr>
    </w:p>
    <w:p w14:paraId="74E64936" w14:textId="77777777" w:rsidR="00A335A6" w:rsidRPr="00624435" w:rsidRDefault="00745A1E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 xml:space="preserve">W związku </w:t>
      </w:r>
      <w:r w:rsidR="008F1B59" w:rsidRPr="00624435">
        <w:rPr>
          <w:rFonts w:ascii="Arial" w:hAnsi="Arial" w:cs="Arial"/>
          <w:sz w:val="24"/>
          <w:szCs w:val="24"/>
        </w:rPr>
        <w:t xml:space="preserve">ze </w:t>
      </w:r>
      <w:r w:rsidR="00610402" w:rsidRPr="00624435">
        <w:rPr>
          <w:rFonts w:ascii="Arial" w:hAnsi="Arial" w:cs="Arial"/>
          <w:sz w:val="24"/>
          <w:szCs w:val="24"/>
        </w:rPr>
        <w:t>zmianami organizacyjnymi polegającymi na przekształceniu jednostki</w:t>
      </w:r>
      <w:r w:rsidR="009F7E5C" w:rsidRPr="00624435">
        <w:rPr>
          <w:rFonts w:ascii="Arial" w:hAnsi="Arial" w:cs="Arial"/>
          <w:sz w:val="24"/>
          <w:szCs w:val="24"/>
        </w:rPr>
        <w:t xml:space="preserve"> Miejskiego Zarządu Usług Komunalnych i Dróg </w:t>
      </w:r>
      <w:r w:rsidR="00244E77" w:rsidRPr="00624435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44E77" w:rsidRPr="00624435">
        <w:rPr>
          <w:rFonts w:ascii="Arial" w:hAnsi="Arial" w:cs="Arial"/>
          <w:sz w:val="24"/>
          <w:szCs w:val="24"/>
        </w:rPr>
        <w:t>MZUKiD</w:t>
      </w:r>
      <w:proofErr w:type="spellEnd"/>
      <w:r w:rsidR="00244E77" w:rsidRPr="00624435">
        <w:rPr>
          <w:rFonts w:ascii="Arial" w:hAnsi="Arial" w:cs="Arial"/>
          <w:sz w:val="24"/>
          <w:szCs w:val="24"/>
        </w:rPr>
        <w:t xml:space="preserve"> </w:t>
      </w:r>
      <w:r w:rsidR="00610402" w:rsidRPr="00624435">
        <w:rPr>
          <w:rFonts w:ascii="Arial" w:hAnsi="Arial" w:cs="Arial"/>
          <w:sz w:val="24"/>
          <w:szCs w:val="24"/>
        </w:rPr>
        <w:t>i utworzeniu nowej jednostki</w:t>
      </w:r>
      <w:r w:rsidR="009F7E5C" w:rsidRPr="00624435">
        <w:rPr>
          <w:rFonts w:ascii="Arial" w:hAnsi="Arial" w:cs="Arial"/>
          <w:sz w:val="24"/>
          <w:szCs w:val="24"/>
        </w:rPr>
        <w:t xml:space="preserve"> Miejski</w:t>
      </w:r>
      <w:r w:rsidR="00244E77" w:rsidRPr="00624435">
        <w:rPr>
          <w:rFonts w:ascii="Arial" w:hAnsi="Arial" w:cs="Arial"/>
          <w:sz w:val="24"/>
          <w:szCs w:val="24"/>
        </w:rPr>
        <w:t>ego</w:t>
      </w:r>
      <w:r w:rsidR="009F7E5C" w:rsidRPr="00624435">
        <w:rPr>
          <w:rFonts w:ascii="Arial" w:hAnsi="Arial" w:cs="Arial"/>
          <w:sz w:val="24"/>
          <w:szCs w:val="24"/>
        </w:rPr>
        <w:t xml:space="preserve"> Zarząd</w:t>
      </w:r>
      <w:r w:rsidR="00244E77" w:rsidRPr="00624435">
        <w:rPr>
          <w:rFonts w:ascii="Arial" w:hAnsi="Arial" w:cs="Arial"/>
          <w:sz w:val="24"/>
          <w:szCs w:val="24"/>
        </w:rPr>
        <w:t>u</w:t>
      </w:r>
      <w:r w:rsidR="009F7E5C" w:rsidRPr="00624435">
        <w:rPr>
          <w:rFonts w:ascii="Arial" w:hAnsi="Arial" w:cs="Arial"/>
          <w:sz w:val="24"/>
          <w:szCs w:val="24"/>
        </w:rPr>
        <w:t xml:space="preserve"> Infrastruktury Drogowej i Transportu</w:t>
      </w:r>
      <w:r w:rsidR="007068DA" w:rsidRPr="0062443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44E77" w:rsidRPr="00624435">
        <w:rPr>
          <w:rFonts w:ascii="Arial" w:hAnsi="Arial" w:cs="Arial"/>
          <w:sz w:val="24"/>
          <w:szCs w:val="24"/>
        </w:rPr>
        <w:t>MZIDiT</w:t>
      </w:r>
      <w:proofErr w:type="spellEnd"/>
      <w:r w:rsidR="009F7E5C" w:rsidRPr="00624435">
        <w:rPr>
          <w:rFonts w:ascii="Arial" w:hAnsi="Arial" w:cs="Arial"/>
          <w:sz w:val="24"/>
          <w:szCs w:val="24"/>
        </w:rPr>
        <w:t xml:space="preserve"> </w:t>
      </w:r>
      <w:r w:rsidR="00610402" w:rsidRPr="00624435">
        <w:rPr>
          <w:rFonts w:ascii="Arial" w:hAnsi="Arial" w:cs="Arial"/>
          <w:sz w:val="24"/>
          <w:szCs w:val="24"/>
        </w:rPr>
        <w:t>oraz zmianami w strukturze organizacji Wydzia</w:t>
      </w:r>
      <w:r w:rsidR="00244E77" w:rsidRPr="00624435">
        <w:rPr>
          <w:rFonts w:ascii="Arial" w:hAnsi="Arial" w:cs="Arial"/>
          <w:sz w:val="24"/>
          <w:szCs w:val="24"/>
        </w:rPr>
        <w:t>łu</w:t>
      </w:r>
      <w:r w:rsidR="00610402" w:rsidRPr="00624435">
        <w:rPr>
          <w:rFonts w:ascii="Arial" w:hAnsi="Arial" w:cs="Arial"/>
          <w:sz w:val="24"/>
          <w:szCs w:val="24"/>
        </w:rPr>
        <w:t xml:space="preserve"> Inwestycji, zachodzi potrzeba </w:t>
      </w:r>
      <w:r w:rsidR="00C339D4" w:rsidRPr="00624435">
        <w:rPr>
          <w:rFonts w:ascii="Arial" w:hAnsi="Arial" w:cs="Arial"/>
          <w:sz w:val="24"/>
          <w:szCs w:val="24"/>
        </w:rPr>
        <w:t xml:space="preserve">zmiany Zarządzenia </w:t>
      </w:r>
      <w:r w:rsidR="008F1B59" w:rsidRPr="00624435">
        <w:rPr>
          <w:rFonts w:ascii="Arial" w:hAnsi="Arial" w:cs="Arial"/>
          <w:sz w:val="24"/>
          <w:szCs w:val="24"/>
        </w:rPr>
        <w:t>nr 177/2017</w:t>
      </w:r>
      <w:r w:rsidR="00A335A6" w:rsidRPr="00624435">
        <w:rPr>
          <w:rFonts w:ascii="Arial" w:hAnsi="Arial" w:cs="Arial"/>
          <w:sz w:val="24"/>
          <w:szCs w:val="24"/>
        </w:rPr>
        <w:t xml:space="preserve"> Prezydenta Miasta Włocławek z dnia 7 lipca 2017 roku</w:t>
      </w:r>
      <w:r w:rsidR="008F1B59" w:rsidRPr="00624435">
        <w:rPr>
          <w:rFonts w:ascii="Arial" w:hAnsi="Arial" w:cs="Arial"/>
          <w:sz w:val="24"/>
          <w:szCs w:val="24"/>
        </w:rPr>
        <w:t xml:space="preserve"> </w:t>
      </w:r>
      <w:r w:rsidR="00C339D4" w:rsidRPr="00624435">
        <w:rPr>
          <w:rFonts w:ascii="Arial" w:hAnsi="Arial" w:cs="Arial"/>
          <w:sz w:val="24"/>
          <w:szCs w:val="24"/>
        </w:rPr>
        <w:t>w sprawie powołania Komisji Oceny Projektów Inwestycji dla zadań prowadzonych przez Wydział Inwestycji</w:t>
      </w:r>
      <w:r w:rsidR="00A335A6" w:rsidRPr="00624435">
        <w:rPr>
          <w:rFonts w:ascii="Arial" w:hAnsi="Arial" w:cs="Arial"/>
          <w:sz w:val="24"/>
          <w:szCs w:val="24"/>
        </w:rPr>
        <w:t>.</w:t>
      </w:r>
    </w:p>
    <w:p w14:paraId="41939DF2" w14:textId="77777777" w:rsidR="00EF17D7" w:rsidRPr="00624435" w:rsidRDefault="00EF17D7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br w:type="page"/>
      </w:r>
    </w:p>
    <w:p w14:paraId="571F142B" w14:textId="77777777" w:rsidR="00A335A6" w:rsidRPr="00624435" w:rsidRDefault="00A335A6" w:rsidP="003A568C">
      <w:pPr>
        <w:pStyle w:val="Nagwek1"/>
        <w:jc w:val="right"/>
      </w:pPr>
      <w:r w:rsidRPr="00624435">
        <w:lastRenderedPageBreak/>
        <w:t>Załącznik</w:t>
      </w:r>
    </w:p>
    <w:p w14:paraId="5E55ABDB" w14:textId="77777777" w:rsidR="00A335A6" w:rsidRPr="00624435" w:rsidRDefault="00A335A6" w:rsidP="003A568C">
      <w:pPr>
        <w:pStyle w:val="Nagwek1"/>
        <w:jc w:val="right"/>
      </w:pPr>
      <w:r w:rsidRPr="00624435">
        <w:t xml:space="preserve">Do Zarządzenia </w:t>
      </w:r>
      <w:r w:rsidR="00EF17D7" w:rsidRPr="00624435">
        <w:t>361/2020</w:t>
      </w:r>
    </w:p>
    <w:p w14:paraId="17AEE287" w14:textId="77777777" w:rsidR="00A335A6" w:rsidRPr="00624435" w:rsidRDefault="00A335A6" w:rsidP="003A568C">
      <w:pPr>
        <w:pStyle w:val="Nagwek1"/>
        <w:jc w:val="right"/>
      </w:pPr>
      <w:r w:rsidRPr="00624435">
        <w:t>Prezydenta Miasta Włocławek</w:t>
      </w:r>
    </w:p>
    <w:p w14:paraId="2B351316" w14:textId="77777777" w:rsidR="00A335A6" w:rsidRPr="00624435" w:rsidRDefault="00A335A6" w:rsidP="003A568C">
      <w:pPr>
        <w:pStyle w:val="Nagwek1"/>
        <w:jc w:val="right"/>
      </w:pPr>
      <w:r w:rsidRPr="00624435">
        <w:t xml:space="preserve">z dnia </w:t>
      </w:r>
      <w:r w:rsidR="00EF17D7" w:rsidRPr="00624435">
        <w:t>12 października 2020 r.</w:t>
      </w:r>
    </w:p>
    <w:p w14:paraId="2E29F5C1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</w:p>
    <w:p w14:paraId="1AC5C0E3" w14:textId="77777777" w:rsidR="00A335A6" w:rsidRPr="00624435" w:rsidRDefault="00A335A6" w:rsidP="003A568C">
      <w:pPr>
        <w:jc w:val="center"/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Regulamin pracy</w:t>
      </w:r>
    </w:p>
    <w:p w14:paraId="2F857ACA" w14:textId="77777777" w:rsidR="00A335A6" w:rsidRPr="00624435" w:rsidRDefault="00A335A6" w:rsidP="003A568C">
      <w:pPr>
        <w:jc w:val="center"/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Komisji Oceny Projektów Inwestycji</w:t>
      </w:r>
    </w:p>
    <w:p w14:paraId="2EC4654F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</w:p>
    <w:p w14:paraId="3F6F5DF1" w14:textId="77777777" w:rsidR="002069A2" w:rsidRPr="00624435" w:rsidRDefault="00A335A6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 xml:space="preserve">§1.1 Komisja Oceny Projektów Inwestycji, zwana dalej </w:t>
      </w:r>
      <w:r w:rsidRPr="00624435">
        <w:rPr>
          <w:rFonts w:ascii="Arial" w:hAnsi="Arial" w:cs="Arial"/>
          <w:i/>
          <w:sz w:val="24"/>
          <w:szCs w:val="24"/>
        </w:rPr>
        <w:t xml:space="preserve">„Komisją” </w:t>
      </w:r>
      <w:r w:rsidRPr="00624435">
        <w:rPr>
          <w:rFonts w:ascii="Arial" w:hAnsi="Arial" w:cs="Arial"/>
          <w:sz w:val="24"/>
          <w:szCs w:val="24"/>
        </w:rPr>
        <w:t>działa w trakcie swoich posiedzeń oraz wizji lokalnych.</w:t>
      </w:r>
    </w:p>
    <w:p w14:paraId="2E73C304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Do obowiązków wszystkich członków Komisji należy w szczególności:</w:t>
      </w:r>
    </w:p>
    <w:p w14:paraId="2A0D297A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uczestniczenie w posiedzeniach i wizjach lokalnych,</w:t>
      </w:r>
    </w:p>
    <w:p w14:paraId="55FCE990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zapoznanie się z dokumentacją podlegającą pracy Komisji przed posiedzeniem,</w:t>
      </w:r>
    </w:p>
    <w:p w14:paraId="629914A6" w14:textId="77777777" w:rsidR="00A335A6" w:rsidRPr="00624435" w:rsidRDefault="00A335A6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zapoznanie się z protokołem</w:t>
      </w:r>
      <w:r w:rsidR="00C9612F" w:rsidRPr="00624435">
        <w:rPr>
          <w:rFonts w:ascii="Arial" w:hAnsi="Arial" w:cs="Arial"/>
          <w:sz w:val="24"/>
          <w:szCs w:val="24"/>
        </w:rPr>
        <w:t xml:space="preserve"> z posiedzenia.</w:t>
      </w:r>
    </w:p>
    <w:p w14:paraId="25BA0E41" w14:textId="77777777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3. Udział w pracach Komisji jest bezpłatny.</w:t>
      </w:r>
    </w:p>
    <w:p w14:paraId="6DC1A74E" w14:textId="77777777" w:rsidR="002069A2" w:rsidRPr="00624435" w:rsidRDefault="002069A2" w:rsidP="00624435">
      <w:pPr>
        <w:rPr>
          <w:rFonts w:ascii="Arial" w:hAnsi="Arial" w:cs="Arial"/>
          <w:sz w:val="24"/>
          <w:szCs w:val="24"/>
        </w:rPr>
      </w:pPr>
    </w:p>
    <w:p w14:paraId="393C576B" w14:textId="77777777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§2.1. Posiedzenia Komisji zwołuje dyrektor Wydziału Inwestycji na wniosek przewodniczącego Komisji, określając jednocześnie jej skład osobowy i listę zaproszonych gości.</w:t>
      </w:r>
    </w:p>
    <w:p w14:paraId="5AF275EB" w14:textId="77777777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Zawiadomienia o miejscu i terminie posiedzenia Komisji dokonuje się pisemnie lub elektronicznie (e-mail) nie później niż na 3 dni przed terminem posiedzenia.</w:t>
      </w:r>
    </w:p>
    <w:p w14:paraId="51379A24" w14:textId="747172EE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3. Przewodniczący komisji:</w:t>
      </w:r>
      <w:r w:rsidR="00574C28">
        <w:rPr>
          <w:rFonts w:ascii="Arial" w:hAnsi="Arial" w:cs="Arial"/>
          <w:sz w:val="24"/>
          <w:szCs w:val="24"/>
        </w:rPr>
        <w:t xml:space="preserve"> </w:t>
      </w:r>
      <w:r w:rsidRPr="00624435">
        <w:rPr>
          <w:rFonts w:ascii="Arial" w:hAnsi="Arial" w:cs="Arial"/>
          <w:sz w:val="24"/>
          <w:szCs w:val="24"/>
        </w:rPr>
        <w:t>organizuje pracę Komisji i prowadzi jej posiedzenia,</w:t>
      </w:r>
    </w:p>
    <w:p w14:paraId="5D214B11" w14:textId="77777777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podpisuje przyjęte zgodnie z §2 pkt</w:t>
      </w:r>
      <w:r w:rsidR="000756C3" w:rsidRPr="00624435">
        <w:rPr>
          <w:rFonts w:ascii="Arial" w:hAnsi="Arial" w:cs="Arial"/>
          <w:sz w:val="24"/>
          <w:szCs w:val="24"/>
        </w:rPr>
        <w:t>.</w:t>
      </w:r>
      <w:r w:rsidRPr="00624435">
        <w:rPr>
          <w:rFonts w:ascii="Arial" w:hAnsi="Arial" w:cs="Arial"/>
          <w:sz w:val="24"/>
          <w:szCs w:val="24"/>
        </w:rPr>
        <w:t xml:space="preserve"> 1a) Zarządzenia wytyczne do projektowania,</w:t>
      </w:r>
    </w:p>
    <w:p w14:paraId="6149ABE8" w14:textId="77777777" w:rsidR="00C9612F" w:rsidRPr="00624435" w:rsidRDefault="00C9612F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w zakresie oceny o której mowa</w:t>
      </w:r>
      <w:r w:rsidR="000756C3" w:rsidRPr="00624435">
        <w:rPr>
          <w:rFonts w:ascii="Arial" w:hAnsi="Arial" w:cs="Arial"/>
          <w:sz w:val="24"/>
          <w:szCs w:val="24"/>
        </w:rPr>
        <w:t xml:space="preserve"> w §2 pkt. 1b) Zarządzenia wypełnia i podpisuje </w:t>
      </w:r>
      <w:r w:rsidR="000756C3" w:rsidRPr="00624435">
        <w:rPr>
          <w:rFonts w:ascii="Arial" w:hAnsi="Arial" w:cs="Arial"/>
          <w:i/>
          <w:sz w:val="24"/>
          <w:szCs w:val="24"/>
        </w:rPr>
        <w:t xml:space="preserve">„Kartę oceny projektu”, </w:t>
      </w:r>
      <w:r w:rsidR="000756C3" w:rsidRPr="00624435">
        <w:rPr>
          <w:rFonts w:ascii="Arial" w:hAnsi="Arial" w:cs="Arial"/>
          <w:sz w:val="24"/>
          <w:szCs w:val="24"/>
        </w:rPr>
        <w:t>której wzór stanowi załącznik do niniejszego Regulaminu,</w:t>
      </w:r>
    </w:p>
    <w:p w14:paraId="6254D03A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przechowuje dokumentację Komisji i odpowiada za jej kompletność.</w:t>
      </w:r>
    </w:p>
    <w:p w14:paraId="6AC51EF4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4. Z posiedzenia Komisji sporządza się protokół, który podpisują przewodniczący i sekretarz Komisji. Winien on zawierać ewentualne zadania odrębne od konkluzji Komisji wraz z podaniem osoby je zgłaszającej.</w:t>
      </w:r>
    </w:p>
    <w:p w14:paraId="27416756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 xml:space="preserve">5. Ocena Komisji stanowi podstawę do przyjęcia bądź odrzucenia dokumentacji przez przewodniczącego Komisji. </w:t>
      </w:r>
    </w:p>
    <w:p w14:paraId="132608EA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§3.1. Członkowie Komisji, którzy z usprawiedliwionych względów nie mogą uczestniczyć w jej posiedzeniu składają swoje wnioski na piśmie do przewodniczącego Komisji w terminie 2 dni od daty posiedzenia.</w:t>
      </w:r>
    </w:p>
    <w:p w14:paraId="3530B51A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lastRenderedPageBreak/>
        <w:t>2. Członek Komisji- przedstawiciel przyszłego użytkownika ma obowiązek nie później niż na 7 dni przed planowanym terminem posiedzenia w zakresie zatwierdzenia wytycznych do projektu (§2.1a) Zarządzenia) przedstawia Przewodniczącemu Komisji w formie pisemnej program użytkowy danego projektu (zakres, czemu ma służyć, jakie ma spełniać wymogi i oczekiwania).</w:t>
      </w:r>
    </w:p>
    <w:p w14:paraId="28A073D9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§4.1. Komisja może dokonać wizji lokalnej zadania objętego opracowaną dokumentacją.</w:t>
      </w:r>
    </w:p>
    <w:p w14:paraId="2E8917A9" w14:textId="77777777" w:rsidR="000756C3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2. Do wizji lokalnej stosuje się odpowiednio postanowienia zawarte w §</w:t>
      </w:r>
      <w:r w:rsidR="00F71BB7" w:rsidRPr="00624435">
        <w:rPr>
          <w:rFonts w:ascii="Arial" w:hAnsi="Arial" w:cs="Arial"/>
          <w:sz w:val="24"/>
          <w:szCs w:val="24"/>
        </w:rPr>
        <w:t>1.1 i §1.2</w:t>
      </w:r>
      <w:r w:rsidRPr="00624435">
        <w:rPr>
          <w:rFonts w:ascii="Arial" w:hAnsi="Arial" w:cs="Arial"/>
          <w:sz w:val="24"/>
          <w:szCs w:val="24"/>
        </w:rPr>
        <w:t xml:space="preserve"> niniejszego Regulaminu.</w:t>
      </w:r>
    </w:p>
    <w:p w14:paraId="5C5D8157" w14:textId="23E9B090" w:rsidR="002069A2" w:rsidRPr="00624435" w:rsidRDefault="000756C3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§5.1. W przypadku czasowej niemożliwości wykonywania swoich obowiązków przez przewodniczącego Komisji jego obowiązki</w:t>
      </w:r>
      <w:r w:rsidR="00574C28">
        <w:rPr>
          <w:rFonts w:ascii="Arial" w:hAnsi="Arial" w:cs="Arial"/>
          <w:sz w:val="24"/>
          <w:szCs w:val="24"/>
        </w:rPr>
        <w:t xml:space="preserve"> </w:t>
      </w:r>
      <w:r w:rsidRPr="00624435">
        <w:rPr>
          <w:rFonts w:ascii="Arial" w:hAnsi="Arial" w:cs="Arial"/>
          <w:sz w:val="24"/>
          <w:szCs w:val="24"/>
        </w:rPr>
        <w:t xml:space="preserve">pełni pracownik Wydziału Inwestycji wyznaczony przez jego dyrektora. </w:t>
      </w:r>
    </w:p>
    <w:p w14:paraId="0A37C35F" w14:textId="77777777" w:rsidR="002069A2" w:rsidRPr="00624435" w:rsidRDefault="002069A2" w:rsidP="00624435">
      <w:pPr>
        <w:rPr>
          <w:rFonts w:ascii="Arial" w:hAnsi="Arial" w:cs="Arial"/>
          <w:sz w:val="24"/>
          <w:szCs w:val="24"/>
        </w:rPr>
      </w:pPr>
    </w:p>
    <w:p w14:paraId="184EC20C" w14:textId="77777777" w:rsidR="002069A2" w:rsidRPr="00624435" w:rsidRDefault="002069A2" w:rsidP="003A568C">
      <w:pPr>
        <w:pStyle w:val="Nagwek1"/>
        <w:jc w:val="right"/>
      </w:pPr>
      <w:r w:rsidRPr="00624435">
        <w:t xml:space="preserve">Załącznik do Regulaminu </w:t>
      </w:r>
    </w:p>
    <w:p w14:paraId="2076F21F" w14:textId="77777777" w:rsidR="002069A2" w:rsidRPr="00624435" w:rsidRDefault="002069A2" w:rsidP="003A568C">
      <w:pPr>
        <w:pStyle w:val="Nagwek1"/>
        <w:jc w:val="right"/>
      </w:pPr>
      <w:r w:rsidRPr="00624435">
        <w:t>Pracy Komisji</w:t>
      </w:r>
    </w:p>
    <w:p w14:paraId="0E3345BD" w14:textId="77777777" w:rsidR="002069A2" w:rsidRPr="00624435" w:rsidRDefault="002069A2" w:rsidP="003A568C">
      <w:pPr>
        <w:pStyle w:val="Nagwek1"/>
        <w:jc w:val="right"/>
      </w:pPr>
      <w:r w:rsidRPr="00624435">
        <w:t>Oceny Projektów Inwestycji</w:t>
      </w:r>
    </w:p>
    <w:p w14:paraId="60071928" w14:textId="77777777" w:rsidR="002069A2" w:rsidRPr="00624435" w:rsidRDefault="002069A2" w:rsidP="00624435">
      <w:pPr>
        <w:rPr>
          <w:rFonts w:ascii="Arial" w:hAnsi="Arial" w:cs="Arial"/>
          <w:sz w:val="24"/>
          <w:szCs w:val="24"/>
        </w:rPr>
      </w:pPr>
    </w:p>
    <w:p w14:paraId="0B5D07E6" w14:textId="77777777" w:rsidR="002069A2" w:rsidRPr="00624435" w:rsidRDefault="002069A2" w:rsidP="00624435">
      <w:pPr>
        <w:rPr>
          <w:rFonts w:ascii="Arial" w:hAnsi="Arial" w:cs="Arial"/>
          <w:sz w:val="24"/>
          <w:szCs w:val="24"/>
        </w:rPr>
      </w:pPr>
    </w:p>
    <w:p w14:paraId="0B04B968" w14:textId="77777777" w:rsidR="002069A2" w:rsidRPr="009B2179" w:rsidRDefault="002069A2" w:rsidP="00F969EE">
      <w:pPr>
        <w:jc w:val="center"/>
        <w:rPr>
          <w:rFonts w:ascii="Arial" w:hAnsi="Arial" w:cs="Arial"/>
          <w:sz w:val="24"/>
          <w:szCs w:val="24"/>
        </w:rPr>
      </w:pPr>
      <w:r w:rsidRPr="009B2179">
        <w:rPr>
          <w:rFonts w:ascii="Arial" w:hAnsi="Arial" w:cs="Arial"/>
          <w:sz w:val="24"/>
          <w:szCs w:val="24"/>
        </w:rPr>
        <w:t>KARTA OCENY PROJEKTU</w:t>
      </w:r>
    </w:p>
    <w:p w14:paraId="4F497CC2" w14:textId="23FB7039" w:rsidR="002069A2" w:rsidRPr="009B2179" w:rsidRDefault="002069A2" w:rsidP="009B2179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9B2179">
        <w:rPr>
          <w:rFonts w:ascii="Arial" w:hAnsi="Arial" w:cs="Arial"/>
          <w:sz w:val="24"/>
          <w:szCs w:val="24"/>
        </w:rPr>
        <w:t>Dane ogólne:</w:t>
      </w:r>
    </w:p>
    <w:p w14:paraId="5143FE3C" w14:textId="77777777" w:rsidR="002069A2" w:rsidRPr="00B70CB3" w:rsidRDefault="002069A2" w:rsidP="00B70CB3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70CB3">
        <w:rPr>
          <w:rFonts w:ascii="Arial" w:hAnsi="Arial" w:cs="Arial"/>
          <w:sz w:val="24"/>
          <w:szCs w:val="24"/>
        </w:rPr>
        <w:t>Tytuł projektu:</w:t>
      </w:r>
    </w:p>
    <w:p w14:paraId="387D22E2" w14:textId="75F23DC9" w:rsidR="002069A2" w:rsidRPr="00624435" w:rsidRDefault="002069A2" w:rsidP="00C25905">
      <w:pPr>
        <w:ind w:left="567"/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9B217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E07194">
        <w:rPr>
          <w:rFonts w:ascii="Arial" w:hAnsi="Arial" w:cs="Arial"/>
          <w:sz w:val="24"/>
          <w:szCs w:val="24"/>
        </w:rPr>
        <w:t>……</w:t>
      </w:r>
    </w:p>
    <w:p w14:paraId="33AFFED6" w14:textId="69392CB9" w:rsidR="002069A2" w:rsidRPr="00B70CB3" w:rsidRDefault="002069A2" w:rsidP="00B70CB3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70CB3">
        <w:rPr>
          <w:rFonts w:ascii="Arial" w:hAnsi="Arial" w:cs="Arial"/>
          <w:sz w:val="24"/>
          <w:szCs w:val="24"/>
        </w:rPr>
        <w:t>Zakres</w:t>
      </w:r>
      <w:r w:rsidR="00B70CB3">
        <w:rPr>
          <w:rFonts w:ascii="Arial" w:hAnsi="Arial" w:cs="Arial"/>
          <w:sz w:val="24"/>
          <w:szCs w:val="24"/>
        </w:rPr>
        <w:t xml:space="preserve"> </w:t>
      </w:r>
      <w:r w:rsidRPr="00B70CB3">
        <w:rPr>
          <w:rFonts w:ascii="Arial" w:hAnsi="Arial" w:cs="Arial"/>
          <w:sz w:val="24"/>
          <w:szCs w:val="24"/>
        </w:rPr>
        <w:t>rzeczowy:……………………………………………………………………</w:t>
      </w:r>
      <w:r w:rsidR="00E07194">
        <w:rPr>
          <w:rFonts w:ascii="Arial" w:hAnsi="Arial" w:cs="Arial"/>
          <w:sz w:val="24"/>
          <w:szCs w:val="24"/>
        </w:rPr>
        <w:t>.</w:t>
      </w:r>
    </w:p>
    <w:p w14:paraId="01D01D34" w14:textId="517593D7" w:rsidR="002069A2" w:rsidRPr="00B70CB3" w:rsidRDefault="002069A2" w:rsidP="00B70CB3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70CB3">
        <w:rPr>
          <w:rFonts w:ascii="Arial" w:hAnsi="Arial" w:cs="Arial"/>
          <w:sz w:val="24"/>
          <w:szCs w:val="24"/>
        </w:rPr>
        <w:t>Wykonawca:…………………………………………………………………………</w:t>
      </w:r>
      <w:r w:rsidR="00E07194">
        <w:rPr>
          <w:rFonts w:ascii="Arial" w:hAnsi="Arial" w:cs="Arial"/>
          <w:sz w:val="24"/>
          <w:szCs w:val="24"/>
        </w:rPr>
        <w:t>.</w:t>
      </w:r>
    </w:p>
    <w:p w14:paraId="27FD15FB" w14:textId="26B588C2" w:rsidR="002069A2" w:rsidRPr="008F0211" w:rsidRDefault="002069A2" w:rsidP="008F021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F0211">
        <w:rPr>
          <w:rFonts w:ascii="Arial" w:hAnsi="Arial" w:cs="Arial"/>
          <w:sz w:val="24"/>
          <w:szCs w:val="24"/>
        </w:rPr>
        <w:t>Podstawa wykonania dokumentacji………………………………………………</w:t>
      </w:r>
      <w:r w:rsidR="00E07194">
        <w:rPr>
          <w:rFonts w:ascii="Arial" w:hAnsi="Arial" w:cs="Arial"/>
          <w:sz w:val="24"/>
          <w:szCs w:val="24"/>
        </w:rPr>
        <w:t>.</w:t>
      </w:r>
    </w:p>
    <w:p w14:paraId="3340F99B" w14:textId="1CCAF2DA" w:rsidR="002069A2" w:rsidRPr="00624435" w:rsidRDefault="002069A2" w:rsidP="00C25905">
      <w:pPr>
        <w:ind w:left="567"/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...................................................Termin:……………………………………………</w:t>
      </w:r>
    </w:p>
    <w:p w14:paraId="5EB47B5C" w14:textId="4CF1ACEA" w:rsidR="002069A2" w:rsidRPr="00555AED" w:rsidRDefault="002069A2" w:rsidP="00555AED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55AED">
        <w:rPr>
          <w:rFonts w:ascii="Arial" w:hAnsi="Arial" w:cs="Arial"/>
          <w:sz w:val="24"/>
          <w:szCs w:val="24"/>
        </w:rPr>
        <w:t>Data złożenia dokumentacji:…………</w:t>
      </w:r>
      <w:r w:rsidR="00555AED">
        <w:rPr>
          <w:rFonts w:ascii="Arial" w:hAnsi="Arial" w:cs="Arial"/>
          <w:sz w:val="24"/>
          <w:szCs w:val="24"/>
        </w:rPr>
        <w:t>…..</w:t>
      </w:r>
      <w:r w:rsidRPr="00555AED">
        <w:rPr>
          <w:rFonts w:ascii="Arial" w:hAnsi="Arial" w:cs="Arial"/>
          <w:sz w:val="24"/>
          <w:szCs w:val="24"/>
        </w:rPr>
        <w:t>………………………………………..</w:t>
      </w:r>
    </w:p>
    <w:p w14:paraId="4CED6046" w14:textId="17E61BB5" w:rsidR="002069A2" w:rsidRPr="00555AED" w:rsidRDefault="002069A2" w:rsidP="00555AED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55AED">
        <w:rPr>
          <w:rFonts w:ascii="Arial" w:hAnsi="Arial" w:cs="Arial"/>
          <w:sz w:val="24"/>
          <w:szCs w:val="24"/>
        </w:rPr>
        <w:t>Zwłoka będąca podstawą naliczenia kar umownych</w:t>
      </w:r>
      <w:r w:rsidR="00555AED">
        <w:rPr>
          <w:rFonts w:ascii="Arial" w:hAnsi="Arial" w:cs="Arial"/>
          <w:sz w:val="24"/>
          <w:szCs w:val="24"/>
        </w:rPr>
        <w:t>:</w:t>
      </w:r>
      <w:r w:rsidRPr="00555AED">
        <w:rPr>
          <w:rFonts w:ascii="Arial" w:hAnsi="Arial" w:cs="Arial"/>
          <w:sz w:val="24"/>
          <w:szCs w:val="24"/>
        </w:rPr>
        <w:t>…………………….....dni.</w:t>
      </w:r>
    </w:p>
    <w:p w14:paraId="49932DD4" w14:textId="77777777" w:rsidR="002069A2" w:rsidRPr="00624435" w:rsidRDefault="002069A2" w:rsidP="00624435">
      <w:pPr>
        <w:rPr>
          <w:rFonts w:ascii="Arial" w:hAnsi="Arial" w:cs="Arial"/>
          <w:sz w:val="24"/>
          <w:szCs w:val="24"/>
        </w:rPr>
      </w:pPr>
    </w:p>
    <w:p w14:paraId="334979B3" w14:textId="77777777" w:rsidR="00D672A8" w:rsidRDefault="00D672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51F409" w14:textId="160E07AF" w:rsidR="002069A2" w:rsidRPr="00F969EE" w:rsidRDefault="002069A2" w:rsidP="00F969E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F969EE">
        <w:rPr>
          <w:rFonts w:ascii="Arial" w:hAnsi="Arial" w:cs="Arial"/>
          <w:sz w:val="24"/>
          <w:szCs w:val="24"/>
        </w:rPr>
        <w:lastRenderedPageBreak/>
        <w:t>Dane dotyczące przyjętej dokumentacji:</w:t>
      </w:r>
    </w:p>
    <w:p w14:paraId="7E6D6318" w14:textId="77777777" w:rsidR="00AC608E" w:rsidRDefault="00F73EFE" w:rsidP="0062443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C608E">
        <w:rPr>
          <w:rFonts w:ascii="Arial" w:hAnsi="Arial" w:cs="Arial"/>
          <w:sz w:val="24"/>
          <w:szCs w:val="24"/>
        </w:rPr>
        <w:t>Data ostatecznego zatwierdzenia dokumentacji: ……………………………………………………….</w:t>
      </w:r>
    </w:p>
    <w:p w14:paraId="738ABE65" w14:textId="3B9C837F" w:rsidR="00F73EFE" w:rsidRPr="00AC608E" w:rsidRDefault="00F73EFE" w:rsidP="0062443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C608E">
        <w:rPr>
          <w:rFonts w:ascii="Arial" w:hAnsi="Arial" w:cs="Arial"/>
          <w:sz w:val="24"/>
          <w:szCs w:val="24"/>
        </w:rPr>
        <w:t>Oświadczam, że dokumentacja wykonana została zgodnie z zakresem rzeczowym określonym w umowie, jest kompletna i czytelna praz pozwala na jej zastosowanie w dalszych pracach procesu inwestycyjnego.</w:t>
      </w:r>
    </w:p>
    <w:p w14:paraId="2CB7308A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</w:p>
    <w:p w14:paraId="0ACDDDC0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……………………………………….</w:t>
      </w:r>
    </w:p>
    <w:p w14:paraId="16C0CA65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Podpis przewodniczącego Komisji</w:t>
      </w:r>
    </w:p>
    <w:p w14:paraId="7D214EA4" w14:textId="77777777" w:rsidR="002069A2" w:rsidRPr="00624435" w:rsidRDefault="002069A2" w:rsidP="00624435">
      <w:pPr>
        <w:rPr>
          <w:rFonts w:ascii="Arial" w:hAnsi="Arial" w:cs="Arial"/>
          <w:sz w:val="24"/>
          <w:szCs w:val="24"/>
          <w:u w:val="single"/>
        </w:rPr>
      </w:pPr>
    </w:p>
    <w:p w14:paraId="01D2F480" w14:textId="77777777" w:rsidR="00F73EFE" w:rsidRPr="00624435" w:rsidRDefault="00F73EFE" w:rsidP="00624435">
      <w:pPr>
        <w:rPr>
          <w:rFonts w:ascii="Arial" w:hAnsi="Arial" w:cs="Arial"/>
          <w:sz w:val="24"/>
          <w:szCs w:val="24"/>
          <w:u w:val="single"/>
        </w:rPr>
      </w:pPr>
    </w:p>
    <w:p w14:paraId="14FA7CFD" w14:textId="2D8016C2" w:rsidR="00F73EFE" w:rsidRPr="00F969EE" w:rsidRDefault="00F73EFE" w:rsidP="00F969E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F969EE">
        <w:rPr>
          <w:rFonts w:ascii="Arial" w:hAnsi="Arial" w:cs="Arial"/>
          <w:sz w:val="24"/>
          <w:szCs w:val="24"/>
        </w:rPr>
        <w:t>Dane dotyczące dokumentacji nie przyjętej</w:t>
      </w:r>
    </w:p>
    <w:p w14:paraId="15333208" w14:textId="77777777" w:rsidR="00AC608E" w:rsidRDefault="00F73EFE" w:rsidP="0062443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C608E">
        <w:rPr>
          <w:rFonts w:ascii="Arial" w:hAnsi="Arial" w:cs="Arial"/>
          <w:sz w:val="24"/>
          <w:szCs w:val="24"/>
        </w:rPr>
        <w:t>Data ostatecznego nie przyjęcia dokumentacji……………………………………</w:t>
      </w:r>
    </w:p>
    <w:p w14:paraId="58B1CA0C" w14:textId="77777777" w:rsidR="00FC3FB0" w:rsidRDefault="00F73EFE" w:rsidP="0062443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C608E">
        <w:rPr>
          <w:rFonts w:ascii="Arial" w:hAnsi="Arial" w:cs="Arial"/>
          <w:sz w:val="24"/>
          <w:szCs w:val="24"/>
        </w:rPr>
        <w:t>Podstawa prawna nie przyjęcia dokumentacji:…………………………………</w:t>
      </w:r>
      <w:r w:rsidR="00FC3FB0">
        <w:rPr>
          <w:rFonts w:ascii="Arial" w:hAnsi="Arial" w:cs="Arial"/>
          <w:sz w:val="24"/>
          <w:szCs w:val="24"/>
        </w:rPr>
        <w:t>…</w:t>
      </w:r>
    </w:p>
    <w:p w14:paraId="14780973" w14:textId="0B631130" w:rsidR="00F73EFE" w:rsidRPr="00FC3FB0" w:rsidRDefault="00F73EFE" w:rsidP="0062443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3FB0">
        <w:rPr>
          <w:rFonts w:ascii="Arial" w:hAnsi="Arial" w:cs="Arial"/>
          <w:sz w:val="24"/>
          <w:szCs w:val="24"/>
        </w:rPr>
        <w:t>Szczegółowe uzasadnienie nie przyjęcia dokumentacji………………………….</w:t>
      </w:r>
    </w:p>
    <w:p w14:paraId="5C0F4DF4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</w:p>
    <w:p w14:paraId="522E66ED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</w:p>
    <w:p w14:paraId="592F7168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………………………………………….</w:t>
      </w:r>
    </w:p>
    <w:p w14:paraId="0C1E7E6C" w14:textId="77777777" w:rsidR="00F73EFE" w:rsidRPr="00624435" w:rsidRDefault="00F73EFE" w:rsidP="00624435">
      <w:pPr>
        <w:rPr>
          <w:rFonts w:ascii="Arial" w:hAnsi="Arial" w:cs="Arial"/>
          <w:sz w:val="24"/>
          <w:szCs w:val="24"/>
        </w:rPr>
      </w:pPr>
      <w:r w:rsidRPr="00624435">
        <w:rPr>
          <w:rFonts w:ascii="Arial" w:hAnsi="Arial" w:cs="Arial"/>
          <w:sz w:val="24"/>
          <w:szCs w:val="24"/>
        </w:rPr>
        <w:t>Podpis przewodniczącego Komisji</w:t>
      </w:r>
    </w:p>
    <w:sectPr w:rsidR="00F73EFE" w:rsidRPr="0062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1775C"/>
    <w:multiLevelType w:val="hybridMultilevel"/>
    <w:tmpl w:val="922AD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0996"/>
    <w:multiLevelType w:val="hybridMultilevel"/>
    <w:tmpl w:val="B884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70F4"/>
    <w:multiLevelType w:val="hybridMultilevel"/>
    <w:tmpl w:val="92623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656"/>
    <w:multiLevelType w:val="hybridMultilevel"/>
    <w:tmpl w:val="34BA53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710BFB"/>
    <w:multiLevelType w:val="hybridMultilevel"/>
    <w:tmpl w:val="DD04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14296"/>
    <w:multiLevelType w:val="hybridMultilevel"/>
    <w:tmpl w:val="7452F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5341"/>
    <w:multiLevelType w:val="hybridMultilevel"/>
    <w:tmpl w:val="92623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798B"/>
    <w:multiLevelType w:val="hybridMultilevel"/>
    <w:tmpl w:val="C76C35EC"/>
    <w:lvl w:ilvl="0" w:tplc="8EFC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050D3"/>
    <w:multiLevelType w:val="hybridMultilevel"/>
    <w:tmpl w:val="E2DCC39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B0526"/>
    <w:multiLevelType w:val="hybridMultilevel"/>
    <w:tmpl w:val="84448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E1742"/>
    <w:multiLevelType w:val="hybridMultilevel"/>
    <w:tmpl w:val="D188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B5AF2"/>
    <w:multiLevelType w:val="hybridMultilevel"/>
    <w:tmpl w:val="A2B2F3D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B1E74"/>
    <w:multiLevelType w:val="hybridMultilevel"/>
    <w:tmpl w:val="1ED670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2E466F8"/>
    <w:multiLevelType w:val="hybridMultilevel"/>
    <w:tmpl w:val="4BEAC8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47319"/>
    <w:multiLevelType w:val="hybridMultilevel"/>
    <w:tmpl w:val="87BCDD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B"/>
    <w:rsid w:val="000756C3"/>
    <w:rsid w:val="00142BE9"/>
    <w:rsid w:val="00144FA2"/>
    <w:rsid w:val="0015651D"/>
    <w:rsid w:val="002069A2"/>
    <w:rsid w:val="00244E77"/>
    <w:rsid w:val="00282EAD"/>
    <w:rsid w:val="003A568C"/>
    <w:rsid w:val="003F4A3C"/>
    <w:rsid w:val="0049525B"/>
    <w:rsid w:val="004E0ABB"/>
    <w:rsid w:val="005125C4"/>
    <w:rsid w:val="00555AED"/>
    <w:rsid w:val="00574C28"/>
    <w:rsid w:val="0058382B"/>
    <w:rsid w:val="005A6233"/>
    <w:rsid w:val="005E4116"/>
    <w:rsid w:val="005F4561"/>
    <w:rsid w:val="00610402"/>
    <w:rsid w:val="00624435"/>
    <w:rsid w:val="007068DA"/>
    <w:rsid w:val="007103F1"/>
    <w:rsid w:val="00745A1E"/>
    <w:rsid w:val="007F091A"/>
    <w:rsid w:val="008F0211"/>
    <w:rsid w:val="008F1B59"/>
    <w:rsid w:val="00917BF5"/>
    <w:rsid w:val="009A7B3F"/>
    <w:rsid w:val="009B2179"/>
    <w:rsid w:val="009F7E5C"/>
    <w:rsid w:val="00A00FDC"/>
    <w:rsid w:val="00A335A6"/>
    <w:rsid w:val="00AC608E"/>
    <w:rsid w:val="00B70CB3"/>
    <w:rsid w:val="00BD1237"/>
    <w:rsid w:val="00C02D81"/>
    <w:rsid w:val="00C25905"/>
    <w:rsid w:val="00C339D4"/>
    <w:rsid w:val="00C7125B"/>
    <w:rsid w:val="00C9612F"/>
    <w:rsid w:val="00D672A8"/>
    <w:rsid w:val="00DB7EA3"/>
    <w:rsid w:val="00DD072D"/>
    <w:rsid w:val="00E07194"/>
    <w:rsid w:val="00ED6FE6"/>
    <w:rsid w:val="00EF17D7"/>
    <w:rsid w:val="00F71BB7"/>
    <w:rsid w:val="00F73EFE"/>
    <w:rsid w:val="00F969EE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B617"/>
  <w15:chartTrackingRefBased/>
  <w15:docId w15:val="{B3B1AD32-243D-4D41-BBCE-0E4E6B6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233"/>
    <w:pPr>
      <w:jc w:val="center"/>
      <w:outlineLvl w:val="0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56C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0756C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A3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244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A6233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261/2020 Prezydenta Miasta Włocławek z dn. 12.10.2020 r.</vt:lpstr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261/2020 Prezydenta Miasta Włocławek z dn. 12.10.2020 r.</dc:title>
  <dc:subject/>
  <dc:creator>Malwina Sejdowska</dc:creator>
  <cp:keywords>Zarządzenie Prezydenta Miasta Włocławek</cp:keywords>
  <dc:description/>
  <cp:lastModifiedBy>Łukasz Stolarski</cp:lastModifiedBy>
  <cp:revision>10</cp:revision>
  <cp:lastPrinted>2020-09-15T13:22:00Z</cp:lastPrinted>
  <dcterms:created xsi:type="dcterms:W3CDTF">2020-10-12T08:45:00Z</dcterms:created>
  <dcterms:modified xsi:type="dcterms:W3CDTF">2020-10-12T09:16:00Z</dcterms:modified>
</cp:coreProperties>
</file>