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A9F" w:rsidRPr="00D34A9F" w:rsidRDefault="00D34A9F" w:rsidP="00D34A9F">
      <w:pPr>
        <w:rPr>
          <w:rFonts w:ascii="Arial" w:hAnsi="Arial" w:cs="Arial"/>
        </w:rPr>
      </w:pPr>
      <w:r w:rsidRPr="00D34A9F">
        <w:rPr>
          <w:rFonts w:ascii="Arial" w:hAnsi="Arial" w:cs="Arial"/>
        </w:rPr>
        <w:t xml:space="preserve">                                                                                                                       Włocławek, 4 lutego 2022 r.</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S.6220.21.2019</w:t>
      </w:r>
    </w:p>
    <w:p w:rsidR="00D34A9F" w:rsidRPr="00D34A9F" w:rsidRDefault="00D34A9F" w:rsidP="00D34A9F">
      <w:pPr>
        <w:rPr>
          <w:rFonts w:ascii="Arial" w:hAnsi="Arial" w:cs="Arial"/>
          <w:b/>
        </w:rPr>
      </w:pPr>
      <w:r>
        <w:rPr>
          <w:rFonts w:ascii="Arial" w:hAnsi="Arial" w:cs="Arial"/>
          <w:b/>
        </w:rPr>
        <w:t xml:space="preserve">Decyzja </w:t>
      </w:r>
      <w:r w:rsidRPr="00D34A9F">
        <w:rPr>
          <w:rFonts w:ascii="Arial" w:hAnsi="Arial" w:cs="Arial"/>
          <w:b/>
        </w:rPr>
        <w:t xml:space="preserve">o środowiskowych uwarunkowaniach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Na podstawie art. 87 w związku z art. 75 ust. 1 pkt 4 w związku z art. 71 ust. 2 pkt 2, art. 84, art. 85 ustawy z dnia 3 października 2008 r. o udostępnianiu informacji o środowisku, udziale społeczeństwa w ochronie środowiska oraz o ocenach oddziaływania na środowisko (Dz. U. z 2021 r., poz. 2373 j.t.) </w:t>
      </w:r>
      <w:r w:rsidRPr="00D34A9F">
        <w:rPr>
          <w:rFonts w:ascii="Arial" w:hAnsi="Arial" w:cs="Arial"/>
        </w:rPr>
        <w:br/>
        <w:t>w związku z art. 104 i art. 155 ustawy z dnia 14 czerwca 1960 r. Kodeks postępowania administracyjnego (Dz. U. 2021 r., poz. 735 ze zm.), a także § 2 ust. 1 pkt 1 lit. a), § 3 ust. 1 pkt 1, pkt 36, pkt 37 i pkt 78 rozporządzenia Rady Ministrów z dnia 9 listopada 2010 r. w sprawie przedsięwzięć mogących znacząco oddziaływać na środowisko (Dz. U. z 2016 r., poz. 71 j.t.), po rozpatrzeniu wniosku spółki PPPolymers Sp.  z o.o. ul. Ikara 5, 64-100 Strzyżewice</w:t>
      </w:r>
    </w:p>
    <w:p w:rsidR="00D34A9F" w:rsidRPr="00D34A9F" w:rsidRDefault="00D34A9F" w:rsidP="00D34A9F">
      <w:pPr>
        <w:rPr>
          <w:rFonts w:ascii="Arial" w:hAnsi="Arial" w:cs="Arial"/>
        </w:rPr>
      </w:pPr>
      <w:r w:rsidRPr="00D34A9F">
        <w:rPr>
          <w:rFonts w:ascii="Arial" w:hAnsi="Arial" w:cs="Arial"/>
        </w:rPr>
        <w:t xml:space="preserve"> </w:t>
      </w:r>
    </w:p>
    <w:p w:rsidR="00D34A9F" w:rsidRPr="00D34A9F" w:rsidRDefault="00D34A9F" w:rsidP="00D34A9F">
      <w:pPr>
        <w:rPr>
          <w:rFonts w:ascii="Arial" w:hAnsi="Arial" w:cs="Arial"/>
          <w:b/>
        </w:rPr>
      </w:pPr>
      <w:r w:rsidRPr="00D34A9F">
        <w:rPr>
          <w:rFonts w:ascii="Arial" w:hAnsi="Arial" w:cs="Arial"/>
          <w:b/>
        </w:rPr>
        <w:t xml:space="preserve">ustalam środowiskowe uwarunkowania </w:t>
      </w:r>
      <w:r w:rsidRPr="00D34A9F">
        <w:rPr>
          <w:rFonts w:ascii="Arial" w:hAnsi="Arial" w:cs="Arial"/>
        </w:rPr>
        <w:t xml:space="preserve">dla zadania pn. </w:t>
      </w:r>
      <w:r w:rsidRPr="00D34A9F">
        <w:rPr>
          <w:rFonts w:ascii="Arial" w:hAnsi="Arial" w:cs="Arial"/>
          <w:b/>
        </w:rPr>
        <w:t>„Budowa instalacji do produkcji klejów przemysłowych oraz wodnych dyspersji polimerów i kopolimerów winylowych oraz akrylowych we Włocławku, przy ul. Zalesie  na działce nr ew. 4/35”</w:t>
      </w:r>
    </w:p>
    <w:p w:rsidR="00D34A9F" w:rsidRPr="00D34A9F" w:rsidRDefault="00D34A9F" w:rsidP="00D34A9F">
      <w:pPr>
        <w:rPr>
          <w:rFonts w:ascii="Arial" w:hAnsi="Arial" w:cs="Arial"/>
        </w:rPr>
      </w:pPr>
    </w:p>
    <w:p w:rsidR="00D34A9F" w:rsidRPr="00D34A9F" w:rsidRDefault="00D34A9F" w:rsidP="00D34A9F">
      <w:pPr>
        <w:rPr>
          <w:rFonts w:ascii="Arial" w:hAnsi="Arial" w:cs="Arial"/>
          <w:b/>
        </w:rPr>
      </w:pPr>
      <w:r w:rsidRPr="00D34A9F">
        <w:rPr>
          <w:rFonts w:ascii="Arial" w:hAnsi="Arial" w:cs="Arial"/>
          <w:b/>
        </w:rPr>
        <w:t xml:space="preserve">I. Rodzaj i miejsce realizacji przedsięwzięcia </w:t>
      </w:r>
    </w:p>
    <w:p w:rsidR="00D34A9F" w:rsidRPr="00D34A9F" w:rsidRDefault="00D34A9F" w:rsidP="00D34A9F">
      <w:pPr>
        <w:rPr>
          <w:rFonts w:ascii="Arial" w:hAnsi="Arial" w:cs="Arial"/>
        </w:rPr>
      </w:pPr>
      <w:r w:rsidRPr="00D34A9F">
        <w:rPr>
          <w:rFonts w:ascii="Arial" w:hAnsi="Arial" w:cs="Arial"/>
        </w:rPr>
        <w:t>Przedsięwzięcie polega na budowie instalacji do produkcji wodnych dyspersji polimerów i kopolimerów winylowych i akrylowych oraz klejów na bazie wodnych dyspersji poli(octanu winylu). Wyroby będą wytwarzane w trzech powiązanych ze sobą układach technologicznych instalacji, zwanych działami produkcyjnymi P-1, P-2 i P-3.</w:t>
      </w:r>
    </w:p>
    <w:p w:rsidR="00D34A9F" w:rsidRPr="00D34A9F" w:rsidRDefault="00D34A9F" w:rsidP="00D34A9F">
      <w:pPr>
        <w:rPr>
          <w:rFonts w:ascii="Arial" w:hAnsi="Arial" w:cs="Arial"/>
        </w:rPr>
      </w:pP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b/>
          <w:i/>
          <w:color w:val="000000"/>
        </w:rPr>
        <w:t>Dział P-1</w:t>
      </w:r>
      <w:r w:rsidRPr="00D34A9F">
        <w:rPr>
          <w:rFonts w:ascii="Arial" w:eastAsia="Calibri" w:hAnsi="Arial" w:cs="Arial"/>
          <w:color w:val="000000"/>
        </w:rPr>
        <w:t xml:space="preserve"> obejmować będzie produkcję wodnych dyspersji polimerów i kopolimerów winylowych (zdolność produkcyjna 28 000 Mg/rok) oraz wodnych dyspersji polimerów i kopolimerów akrylowych (zdolność produkcyjna 9 400 Mg/rok). </w:t>
      </w:r>
    </w:p>
    <w:p w:rsidR="00D34A9F" w:rsidRPr="00D34A9F" w:rsidRDefault="00D34A9F" w:rsidP="00D34A9F">
      <w:pPr>
        <w:autoSpaceDE w:val="0"/>
        <w:autoSpaceDN w:val="0"/>
        <w:adjustRightInd w:val="0"/>
        <w:rPr>
          <w:rFonts w:ascii="Arial" w:eastAsia="Calibri" w:hAnsi="Arial" w:cs="Arial"/>
          <w:color w:val="000000"/>
        </w:rPr>
      </w:pP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b/>
          <w:i/>
          <w:color w:val="000000"/>
        </w:rPr>
        <w:t>Dział P-2</w:t>
      </w:r>
      <w:r w:rsidRPr="00D34A9F">
        <w:rPr>
          <w:rFonts w:ascii="Arial" w:eastAsia="Calibri" w:hAnsi="Arial" w:cs="Arial"/>
          <w:color w:val="000000"/>
        </w:rPr>
        <w:t xml:space="preserve"> to układ technologiczny do produkcji klejów na bazie wodnych dyspersji poli(octanu winylu) (zdolność produkcyjna 40 000 Mg/rok). </w:t>
      </w:r>
    </w:p>
    <w:p w:rsidR="00D34A9F" w:rsidRPr="00D34A9F" w:rsidRDefault="00D34A9F" w:rsidP="00D34A9F">
      <w:pPr>
        <w:rPr>
          <w:rFonts w:ascii="Arial" w:eastAsia="Calibri" w:hAnsi="Arial" w:cs="Arial"/>
          <w:color w:val="000000"/>
        </w:rPr>
      </w:pPr>
    </w:p>
    <w:p w:rsidR="00D34A9F" w:rsidRPr="00D34A9F" w:rsidRDefault="00D34A9F" w:rsidP="00D34A9F">
      <w:pPr>
        <w:rPr>
          <w:rFonts w:ascii="Arial" w:hAnsi="Arial" w:cs="Arial"/>
        </w:rPr>
      </w:pPr>
      <w:r w:rsidRPr="00D34A9F">
        <w:rPr>
          <w:rFonts w:ascii="Arial" w:eastAsia="Calibri" w:hAnsi="Arial" w:cs="Arial"/>
          <w:b/>
          <w:i/>
          <w:color w:val="000000"/>
        </w:rPr>
        <w:t>Dział P-3</w:t>
      </w:r>
      <w:r w:rsidRPr="00D34A9F">
        <w:rPr>
          <w:rFonts w:ascii="Arial" w:eastAsia="Calibri" w:hAnsi="Arial" w:cs="Arial"/>
          <w:color w:val="000000"/>
        </w:rPr>
        <w:t xml:space="preserve"> obejmować będzie produkcję wodnych dyspersji polimerów i kopolimerów winylowych (zdolność produkcyjna 38 500 Mg/rok).</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Oprócz części produkcyjnej obiektami towarzyszącymi będą:</w:t>
      </w:r>
    </w:p>
    <w:p w:rsidR="00D34A9F" w:rsidRPr="00D34A9F" w:rsidRDefault="00D34A9F" w:rsidP="00D34A9F">
      <w:pPr>
        <w:numPr>
          <w:ilvl w:val="0"/>
          <w:numId w:val="36"/>
        </w:numPr>
        <w:rPr>
          <w:rFonts w:ascii="Arial" w:hAnsi="Arial" w:cs="Arial"/>
        </w:rPr>
      </w:pPr>
      <w:r w:rsidRPr="00D34A9F">
        <w:rPr>
          <w:rFonts w:ascii="Arial" w:hAnsi="Arial" w:cs="Arial"/>
        </w:rPr>
        <w:t xml:space="preserve">zbiorniki magazynowe na surowce i wyroby gotowe (31 zbiorników podziemnych i naziemnych </w:t>
      </w:r>
      <w:r w:rsidRPr="00D34A9F">
        <w:rPr>
          <w:rFonts w:ascii="Arial" w:hAnsi="Arial" w:cs="Arial"/>
        </w:rPr>
        <w:br/>
        <w:t>o łącznej pojemności 1640 Mg);</w:t>
      </w:r>
    </w:p>
    <w:p w:rsidR="00D34A9F" w:rsidRPr="00D34A9F" w:rsidRDefault="00D34A9F" w:rsidP="00D34A9F">
      <w:pPr>
        <w:numPr>
          <w:ilvl w:val="0"/>
          <w:numId w:val="36"/>
        </w:numPr>
        <w:rPr>
          <w:rFonts w:ascii="Arial" w:hAnsi="Arial" w:cs="Arial"/>
        </w:rPr>
      </w:pPr>
      <w:r w:rsidRPr="00D34A9F">
        <w:rPr>
          <w:rFonts w:ascii="Arial" w:hAnsi="Arial" w:cs="Arial"/>
        </w:rPr>
        <w:t>kotłownia z trzema kotłami o sumarycznej mocy cieplnej do 3450 kW:</w:t>
      </w:r>
    </w:p>
    <w:p w:rsidR="00D34A9F" w:rsidRPr="00D34A9F" w:rsidRDefault="00D34A9F" w:rsidP="00D34A9F">
      <w:pPr>
        <w:numPr>
          <w:ilvl w:val="0"/>
          <w:numId w:val="38"/>
        </w:numPr>
        <w:rPr>
          <w:rFonts w:ascii="Arial" w:hAnsi="Arial" w:cs="Arial"/>
        </w:rPr>
      </w:pPr>
      <w:r w:rsidRPr="00D34A9F">
        <w:rPr>
          <w:rFonts w:ascii="Arial" w:hAnsi="Arial" w:cs="Arial"/>
        </w:rPr>
        <w:t>kocioł c.o. o nominalnej mocy cieplnej do 200 kW,</w:t>
      </w:r>
    </w:p>
    <w:p w:rsidR="00D34A9F" w:rsidRPr="00D34A9F" w:rsidRDefault="00D34A9F" w:rsidP="00D34A9F">
      <w:pPr>
        <w:numPr>
          <w:ilvl w:val="0"/>
          <w:numId w:val="38"/>
        </w:numPr>
        <w:rPr>
          <w:rFonts w:ascii="Arial" w:hAnsi="Arial" w:cs="Arial"/>
        </w:rPr>
      </w:pPr>
      <w:r w:rsidRPr="00D34A9F">
        <w:rPr>
          <w:rFonts w:ascii="Arial" w:hAnsi="Arial" w:cs="Arial"/>
        </w:rPr>
        <w:t>kocioł parowy o nominalnej mocy cieplnej do 1950 kW,</w:t>
      </w:r>
    </w:p>
    <w:p w:rsidR="00D34A9F" w:rsidRPr="00D34A9F" w:rsidRDefault="00D34A9F" w:rsidP="00D34A9F">
      <w:pPr>
        <w:numPr>
          <w:ilvl w:val="0"/>
          <w:numId w:val="38"/>
        </w:numPr>
        <w:rPr>
          <w:rFonts w:ascii="Arial" w:hAnsi="Arial" w:cs="Arial"/>
        </w:rPr>
      </w:pPr>
      <w:r w:rsidRPr="00D34A9F">
        <w:rPr>
          <w:rFonts w:ascii="Arial" w:hAnsi="Arial" w:cs="Arial"/>
        </w:rPr>
        <w:t>kocioł parowy o nominalnej mocy cieplnej do 1300 kW,</w:t>
      </w:r>
    </w:p>
    <w:p w:rsidR="00D34A9F" w:rsidRPr="00D34A9F" w:rsidRDefault="00D34A9F" w:rsidP="00D34A9F">
      <w:pPr>
        <w:numPr>
          <w:ilvl w:val="0"/>
          <w:numId w:val="36"/>
        </w:numPr>
        <w:rPr>
          <w:rFonts w:ascii="Arial" w:hAnsi="Arial" w:cs="Arial"/>
        </w:rPr>
      </w:pPr>
      <w:r w:rsidRPr="00D34A9F">
        <w:rPr>
          <w:rFonts w:ascii="Arial" w:hAnsi="Arial" w:cs="Arial"/>
        </w:rPr>
        <w:t>podczyszczalnia ścieków o przepustowości 52 000 m</w:t>
      </w:r>
      <w:r w:rsidRPr="00D34A9F">
        <w:rPr>
          <w:rFonts w:ascii="Arial" w:hAnsi="Arial" w:cs="Arial"/>
          <w:vertAlign w:val="superscript"/>
        </w:rPr>
        <w:t>3</w:t>
      </w:r>
      <w:r w:rsidRPr="00D34A9F">
        <w:rPr>
          <w:rFonts w:ascii="Arial" w:hAnsi="Arial" w:cs="Arial"/>
        </w:rPr>
        <w:t xml:space="preserve"> /rok;</w:t>
      </w:r>
    </w:p>
    <w:p w:rsidR="00D34A9F" w:rsidRPr="00D34A9F" w:rsidRDefault="00D34A9F" w:rsidP="00D34A9F">
      <w:pPr>
        <w:numPr>
          <w:ilvl w:val="0"/>
          <w:numId w:val="36"/>
        </w:numPr>
        <w:rPr>
          <w:rFonts w:ascii="Arial" w:hAnsi="Arial" w:cs="Arial"/>
        </w:rPr>
      </w:pPr>
      <w:r w:rsidRPr="00D34A9F">
        <w:rPr>
          <w:rFonts w:ascii="Arial" w:hAnsi="Arial" w:cs="Arial"/>
        </w:rPr>
        <w:t>stacja uzdatniania wody o wydajności 10 m</w:t>
      </w:r>
      <w:r w:rsidRPr="00D34A9F">
        <w:rPr>
          <w:rFonts w:ascii="Arial" w:hAnsi="Arial" w:cs="Arial"/>
          <w:vertAlign w:val="superscript"/>
        </w:rPr>
        <w:t>3</w:t>
      </w:r>
      <w:r w:rsidRPr="00D34A9F">
        <w:rPr>
          <w:rFonts w:ascii="Arial" w:hAnsi="Arial" w:cs="Arial"/>
        </w:rPr>
        <w:t>/h;</w:t>
      </w:r>
    </w:p>
    <w:p w:rsidR="00D34A9F" w:rsidRPr="00D34A9F" w:rsidRDefault="00D34A9F" w:rsidP="00D34A9F">
      <w:pPr>
        <w:numPr>
          <w:ilvl w:val="0"/>
          <w:numId w:val="36"/>
        </w:numPr>
        <w:rPr>
          <w:rFonts w:ascii="Arial" w:hAnsi="Arial" w:cs="Arial"/>
        </w:rPr>
      </w:pPr>
      <w:r w:rsidRPr="00D34A9F">
        <w:rPr>
          <w:rFonts w:ascii="Arial" w:hAnsi="Arial" w:cs="Arial"/>
        </w:rPr>
        <w:t>laboratorium jakościowe;</w:t>
      </w:r>
    </w:p>
    <w:p w:rsidR="00D34A9F" w:rsidRPr="00D34A9F" w:rsidRDefault="00D34A9F" w:rsidP="00D34A9F">
      <w:pPr>
        <w:numPr>
          <w:ilvl w:val="0"/>
          <w:numId w:val="36"/>
        </w:numPr>
        <w:rPr>
          <w:rFonts w:ascii="Arial" w:hAnsi="Arial" w:cs="Arial"/>
        </w:rPr>
      </w:pPr>
      <w:r w:rsidRPr="00D34A9F">
        <w:rPr>
          <w:rFonts w:ascii="Arial" w:hAnsi="Arial" w:cs="Arial"/>
        </w:rPr>
        <w:lastRenderedPageBreak/>
        <w:t xml:space="preserve"> myjnia mobilnych elementów instalacji, np. filtrów wykorzystywanych przy załadunku produktów oraz opakowań wielokrotnego użytku;</w:t>
      </w:r>
    </w:p>
    <w:p w:rsidR="00D34A9F" w:rsidRPr="00D34A9F" w:rsidRDefault="00D34A9F" w:rsidP="00D34A9F">
      <w:pPr>
        <w:numPr>
          <w:ilvl w:val="0"/>
          <w:numId w:val="36"/>
        </w:numPr>
        <w:rPr>
          <w:rFonts w:ascii="Arial" w:hAnsi="Arial" w:cs="Arial"/>
        </w:rPr>
      </w:pPr>
      <w:r w:rsidRPr="00D34A9F">
        <w:rPr>
          <w:rFonts w:ascii="Arial" w:hAnsi="Arial" w:cs="Arial"/>
        </w:rPr>
        <w:t>magazyn części zamiennych;</w:t>
      </w:r>
    </w:p>
    <w:p w:rsidR="00D34A9F" w:rsidRPr="00D34A9F" w:rsidRDefault="00D34A9F" w:rsidP="00D34A9F">
      <w:pPr>
        <w:numPr>
          <w:ilvl w:val="0"/>
          <w:numId w:val="36"/>
        </w:numPr>
        <w:rPr>
          <w:rFonts w:ascii="Arial" w:hAnsi="Arial" w:cs="Arial"/>
        </w:rPr>
      </w:pPr>
      <w:r w:rsidRPr="00D34A9F">
        <w:rPr>
          <w:rFonts w:ascii="Arial" w:hAnsi="Arial" w:cs="Arial"/>
        </w:rPr>
        <w:t>warsztat.</w:t>
      </w:r>
    </w:p>
    <w:p w:rsidR="00D34A9F" w:rsidRPr="00D34A9F" w:rsidRDefault="00D34A9F" w:rsidP="00D34A9F">
      <w:pPr>
        <w:numPr>
          <w:ilvl w:val="0"/>
          <w:numId w:val="36"/>
        </w:numPr>
        <w:ind w:left="714" w:hanging="357"/>
        <w:rPr>
          <w:rFonts w:ascii="Arial" w:hAnsi="Arial" w:cs="Arial"/>
        </w:rPr>
      </w:pPr>
      <w:r w:rsidRPr="00D34A9F">
        <w:rPr>
          <w:rFonts w:ascii="Arial" w:hAnsi="Arial" w:cs="Arial"/>
        </w:rPr>
        <w:t>przepompownia monomerów,</w:t>
      </w:r>
    </w:p>
    <w:p w:rsidR="00D34A9F" w:rsidRPr="00D34A9F" w:rsidRDefault="00D34A9F" w:rsidP="00D34A9F">
      <w:pPr>
        <w:numPr>
          <w:ilvl w:val="0"/>
          <w:numId w:val="36"/>
        </w:numPr>
        <w:ind w:left="714" w:hanging="357"/>
        <w:rPr>
          <w:rFonts w:ascii="Arial" w:hAnsi="Arial" w:cs="Arial"/>
        </w:rPr>
      </w:pPr>
      <w:r w:rsidRPr="00D34A9F">
        <w:rPr>
          <w:rFonts w:ascii="Arial" w:hAnsi="Arial" w:cs="Arial"/>
        </w:rPr>
        <w:t xml:space="preserve"> wiata na czasowe gromadzenie odpadów,</w:t>
      </w:r>
    </w:p>
    <w:p w:rsidR="00D34A9F" w:rsidRPr="00D34A9F" w:rsidRDefault="00D34A9F" w:rsidP="00D34A9F">
      <w:pPr>
        <w:numPr>
          <w:ilvl w:val="0"/>
          <w:numId w:val="36"/>
        </w:numPr>
        <w:ind w:left="714" w:hanging="357"/>
        <w:rPr>
          <w:rFonts w:ascii="Arial" w:hAnsi="Arial" w:cs="Arial"/>
        </w:rPr>
      </w:pPr>
      <w:r w:rsidRPr="00D34A9F">
        <w:rPr>
          <w:rFonts w:ascii="Arial" w:hAnsi="Arial" w:cs="Arial"/>
        </w:rPr>
        <w:t xml:space="preserve"> chłodnie wentylatorowe,</w:t>
      </w:r>
    </w:p>
    <w:p w:rsidR="00D34A9F" w:rsidRPr="00D34A9F" w:rsidRDefault="00D34A9F" w:rsidP="00D34A9F">
      <w:pPr>
        <w:numPr>
          <w:ilvl w:val="0"/>
          <w:numId w:val="36"/>
        </w:numPr>
        <w:ind w:left="714" w:hanging="357"/>
        <w:rPr>
          <w:rFonts w:ascii="Arial" w:hAnsi="Arial" w:cs="Arial"/>
        </w:rPr>
      </w:pPr>
      <w:r w:rsidRPr="00D34A9F">
        <w:rPr>
          <w:rFonts w:ascii="Arial" w:hAnsi="Arial" w:cs="Arial"/>
        </w:rPr>
        <w:t xml:space="preserve"> magazyn surowców oraz wyrobów gotowych,</w:t>
      </w:r>
    </w:p>
    <w:p w:rsidR="00D34A9F" w:rsidRPr="00D34A9F" w:rsidRDefault="00D34A9F" w:rsidP="00D34A9F">
      <w:pPr>
        <w:numPr>
          <w:ilvl w:val="0"/>
          <w:numId w:val="36"/>
        </w:numPr>
        <w:ind w:left="714" w:hanging="357"/>
        <w:rPr>
          <w:rFonts w:ascii="Arial" w:hAnsi="Arial" w:cs="Arial"/>
        </w:rPr>
      </w:pPr>
      <w:r w:rsidRPr="00D34A9F">
        <w:rPr>
          <w:rFonts w:ascii="Arial" w:hAnsi="Arial" w:cs="Arial"/>
        </w:rPr>
        <w:t xml:space="preserve"> waga samochodowa,</w:t>
      </w:r>
    </w:p>
    <w:p w:rsidR="00D34A9F" w:rsidRPr="00D34A9F" w:rsidRDefault="00D34A9F" w:rsidP="00D34A9F">
      <w:pPr>
        <w:numPr>
          <w:ilvl w:val="0"/>
          <w:numId w:val="36"/>
        </w:numPr>
        <w:ind w:left="714" w:hanging="357"/>
        <w:rPr>
          <w:rFonts w:ascii="Arial" w:hAnsi="Arial" w:cs="Arial"/>
        </w:rPr>
      </w:pPr>
      <w:r w:rsidRPr="00D34A9F">
        <w:rPr>
          <w:rFonts w:ascii="Arial" w:hAnsi="Arial" w:cs="Arial"/>
        </w:rPr>
        <w:t xml:space="preserve"> agregat,</w:t>
      </w:r>
    </w:p>
    <w:p w:rsidR="00D34A9F" w:rsidRPr="00D34A9F" w:rsidRDefault="00D34A9F" w:rsidP="00D34A9F">
      <w:pPr>
        <w:numPr>
          <w:ilvl w:val="0"/>
          <w:numId w:val="36"/>
        </w:numPr>
        <w:ind w:left="714" w:hanging="357"/>
        <w:rPr>
          <w:rFonts w:ascii="Arial" w:hAnsi="Arial" w:cs="Arial"/>
        </w:rPr>
      </w:pPr>
      <w:r w:rsidRPr="00D34A9F">
        <w:rPr>
          <w:rFonts w:ascii="Arial" w:hAnsi="Arial" w:cs="Arial"/>
        </w:rPr>
        <w:t>stróżówka</w:t>
      </w:r>
    </w:p>
    <w:p w:rsidR="00D34A9F" w:rsidRPr="00D34A9F" w:rsidRDefault="00D34A9F" w:rsidP="00D34A9F">
      <w:pPr>
        <w:ind w:left="720"/>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Przedsięwzięcie realizowane będzie wewnątrz obszaru Włocławskiej Strefy Rozwoju Gospodarczego – Parku Przemysłowo-Technologicznego” obręb 0004 KAWKA, przy ul. Zalesie, na działce nr 4/35 </w:t>
      </w:r>
      <w:r w:rsidRPr="00D34A9F">
        <w:rPr>
          <w:rFonts w:ascii="Arial" w:hAnsi="Arial" w:cs="Arial"/>
        </w:rPr>
        <w:br/>
        <w:t>w miejscowości Włocławek, powiat Miasto Włocławek, województwo kujawsko-pomorskie. Budowa instalacji planowana jest na działce nr 4/35 o powierzchni 3,1167 ha.</w:t>
      </w:r>
    </w:p>
    <w:p w:rsidR="00D34A9F" w:rsidRPr="00D34A9F" w:rsidRDefault="00D34A9F" w:rsidP="00D34A9F">
      <w:pPr>
        <w:rPr>
          <w:rFonts w:ascii="Arial" w:hAnsi="Arial" w:cs="Arial"/>
        </w:rPr>
      </w:pPr>
    </w:p>
    <w:p w:rsidR="00D34A9F" w:rsidRPr="00D34A9F" w:rsidRDefault="00D34A9F" w:rsidP="00D34A9F">
      <w:pPr>
        <w:pStyle w:val="Akapitzlist"/>
        <w:ind w:left="0"/>
        <w:rPr>
          <w:rFonts w:ascii="Arial" w:hAnsi="Arial" w:cs="Arial"/>
          <w:b/>
        </w:rPr>
      </w:pPr>
      <w:r w:rsidRPr="00D34A9F">
        <w:rPr>
          <w:rFonts w:ascii="Arial" w:hAnsi="Arial" w:cs="Arial"/>
          <w:b/>
        </w:rPr>
        <w:t>II. Istotne warunki</w:t>
      </w:r>
      <w:r w:rsidRPr="00D34A9F">
        <w:rPr>
          <w:rFonts w:ascii="Arial" w:hAnsi="Arial" w:cs="Arial"/>
        </w:rPr>
        <w:t xml:space="preserve"> </w:t>
      </w:r>
      <w:r w:rsidRPr="00D34A9F">
        <w:rPr>
          <w:rFonts w:ascii="Arial" w:hAnsi="Arial" w:cs="Arial"/>
          <w:b/>
        </w:rPr>
        <w:t xml:space="preserve">korzystania ze środowiska w fazie realizacji i eksploatacji lub użytkowania przedsięwzięcia, ze szczególnym uwzględnieniem konieczności ochrony cennych wartości przyrodniczych, zasobów naturalnych i zabytków oraz ograniczenia uciążliwości dla terenów sąsiednich </w:t>
      </w:r>
    </w:p>
    <w:p w:rsidR="00D34A9F" w:rsidRPr="00D34A9F" w:rsidRDefault="00D34A9F" w:rsidP="00D34A9F">
      <w:pPr>
        <w:pStyle w:val="Akapitzlist"/>
        <w:ind w:left="0"/>
        <w:rPr>
          <w:rFonts w:ascii="Arial" w:hAnsi="Arial" w:cs="Arial"/>
          <w:b/>
        </w:rPr>
      </w:pPr>
    </w:p>
    <w:p w:rsidR="00D34A9F" w:rsidRPr="00D34A9F" w:rsidRDefault="00D34A9F" w:rsidP="00D34A9F">
      <w:pPr>
        <w:rPr>
          <w:rFonts w:ascii="Arial" w:hAnsi="Arial" w:cs="Arial"/>
        </w:rPr>
      </w:pPr>
      <w:r w:rsidRPr="00D34A9F">
        <w:rPr>
          <w:rFonts w:ascii="Arial" w:hAnsi="Arial" w:cs="Arial"/>
        </w:rPr>
        <w:t>1. Na etapie realizacji i eksploatacji lub użytkowania przedsięwzięcia należy podjąć następujące działania:</w:t>
      </w:r>
    </w:p>
    <w:p w:rsidR="00D34A9F" w:rsidRPr="00D34A9F" w:rsidRDefault="00D34A9F" w:rsidP="00D34A9F">
      <w:pPr>
        <w:numPr>
          <w:ilvl w:val="0"/>
          <w:numId w:val="21"/>
        </w:numPr>
        <w:ind w:left="714" w:hanging="357"/>
        <w:rPr>
          <w:rFonts w:ascii="Arial" w:hAnsi="Arial" w:cs="Arial"/>
        </w:rPr>
      </w:pPr>
      <w:r w:rsidRPr="00D34A9F">
        <w:rPr>
          <w:rFonts w:ascii="Arial" w:hAnsi="Arial" w:cs="Arial"/>
        </w:rPr>
        <w:t>Prace ziemne (w tym usunięcie roślinności) prowadzić poza okresem lęgowym ptaków, przypadającym od 1 marca do 31 sierpnia. Prowadzenie przedmiotowych prac w okresie lęgowym jest możliwe wyłącznie pod warunkiem potwierdzenia przez specjalistę przyrodnika - ornitologa braku zajęcia objętych planowanym zajęciem siedlisk gatunków chronionych. Kontrolę zajęcia siedlisk przeprowadzić nie wcześniej niż 2 dni przed rozpoczęciem prac. W przypadku wykrycia lęgów gatunków chronionych prace ziemne nie mogą być przeprowadzone do czasu</w:t>
      </w:r>
      <w:r w:rsidRPr="00D34A9F">
        <w:rPr>
          <w:rFonts w:ascii="Arial" w:hAnsi="Arial" w:cs="Arial"/>
        </w:rPr>
        <w:br/>
        <w:t>stwierdzenia przez nadzór ornitologiczny wyprowadzenia młodych z gniazda.</w:t>
      </w:r>
    </w:p>
    <w:p w:rsidR="00D34A9F" w:rsidRPr="00D34A9F" w:rsidRDefault="00D34A9F" w:rsidP="00D34A9F">
      <w:pPr>
        <w:numPr>
          <w:ilvl w:val="0"/>
          <w:numId w:val="21"/>
        </w:numPr>
        <w:ind w:left="714" w:hanging="357"/>
        <w:rPr>
          <w:rFonts w:ascii="Arial" w:hAnsi="Arial" w:cs="Arial"/>
        </w:rPr>
      </w:pPr>
      <w:r w:rsidRPr="00D34A9F">
        <w:rPr>
          <w:rFonts w:ascii="Arial" w:hAnsi="Arial" w:cs="Arial"/>
        </w:rPr>
        <w:t>Każdorazowo przed podjęciem prac przeprowadzić kontrolę terenu robót, w tym wykopów pod kątem uwięzionych w nich małych zwierząt, które w razie konieczności będą wypuszczane w innym, bezpiecznym miejscu. Kontrole te prowadzić mogą, np. pracownicy uprzednio przeszkoleni w zakresie zoologicznymi nie wymaga to wprowadzenia odrębnego nadzoru przyrodniczego.</w:t>
      </w:r>
    </w:p>
    <w:p w:rsidR="00D34A9F" w:rsidRPr="00D34A9F" w:rsidRDefault="00D34A9F" w:rsidP="00D34A9F">
      <w:pPr>
        <w:numPr>
          <w:ilvl w:val="0"/>
          <w:numId w:val="21"/>
        </w:numPr>
        <w:ind w:left="714" w:hanging="357"/>
        <w:rPr>
          <w:rFonts w:ascii="Arial" w:hAnsi="Arial" w:cs="Arial"/>
        </w:rPr>
      </w:pPr>
      <w:r w:rsidRPr="00D34A9F">
        <w:rPr>
          <w:rFonts w:ascii="Arial" w:hAnsi="Arial" w:cs="Arial"/>
        </w:rPr>
        <w:t>Stwierdzone gatunki chronionych roślin, przenieść poza zasięg planowanej inwestycji, w odpowiednie dla gatunku siedlisko i pod nadzorem przyrodnika - botanika, zgodnie z nw. wskazaniami:</w:t>
      </w:r>
    </w:p>
    <w:p w:rsidR="00D34A9F" w:rsidRPr="00D34A9F" w:rsidRDefault="00D34A9F" w:rsidP="00D34A9F">
      <w:pPr>
        <w:numPr>
          <w:ilvl w:val="0"/>
          <w:numId w:val="22"/>
        </w:numPr>
        <w:rPr>
          <w:rFonts w:ascii="Arial" w:hAnsi="Arial" w:cs="Arial"/>
        </w:rPr>
      </w:pPr>
      <w:r w:rsidRPr="00D34A9F">
        <w:rPr>
          <w:rFonts w:ascii="Arial" w:hAnsi="Arial" w:cs="Arial"/>
        </w:rPr>
        <w:t>w przypadku kocanek piaskowych, zebrać dojrzałe kwiatostany (owocostany) gatunku, które należy wysiać w innej lokalizacji lub wykonać przesadzenie całych roślin,</w:t>
      </w:r>
    </w:p>
    <w:p w:rsidR="00D34A9F" w:rsidRPr="00D34A9F" w:rsidRDefault="00D34A9F" w:rsidP="00D34A9F">
      <w:pPr>
        <w:numPr>
          <w:ilvl w:val="0"/>
          <w:numId w:val="22"/>
        </w:numPr>
        <w:rPr>
          <w:rFonts w:ascii="Arial" w:hAnsi="Arial" w:cs="Arial"/>
        </w:rPr>
      </w:pPr>
      <w:r w:rsidRPr="00D34A9F">
        <w:rPr>
          <w:rFonts w:ascii="Arial" w:hAnsi="Arial" w:cs="Arial"/>
        </w:rPr>
        <w:t>w przypadku jarzębu szwedzkiego, przesadzić całe rośliny z obszaru planowanej inwestycji.</w:t>
      </w:r>
    </w:p>
    <w:p w:rsidR="00D34A9F" w:rsidRPr="00D34A9F" w:rsidRDefault="00D34A9F" w:rsidP="00D34A9F">
      <w:pPr>
        <w:numPr>
          <w:ilvl w:val="0"/>
          <w:numId w:val="21"/>
        </w:numPr>
        <w:rPr>
          <w:rFonts w:ascii="Arial" w:hAnsi="Arial" w:cs="Arial"/>
        </w:rPr>
      </w:pPr>
      <w:r w:rsidRPr="00D34A9F">
        <w:rPr>
          <w:rFonts w:ascii="Arial" w:hAnsi="Arial" w:cs="Arial"/>
        </w:rPr>
        <w:lastRenderedPageBreak/>
        <w:t>W celu minimalizacji i ograniczenia oddziaływań związanych z emisją hałasu, prace realizacyjne, prowadzić wyłącznie w porze dziennej, tj. w godz. 6:00 – 22:00.</w:t>
      </w:r>
    </w:p>
    <w:p w:rsidR="00D34A9F" w:rsidRPr="00D34A9F" w:rsidRDefault="00D34A9F" w:rsidP="00D34A9F">
      <w:pPr>
        <w:numPr>
          <w:ilvl w:val="0"/>
          <w:numId w:val="21"/>
        </w:numPr>
        <w:rPr>
          <w:rFonts w:ascii="Arial" w:hAnsi="Arial" w:cs="Arial"/>
        </w:rPr>
      </w:pPr>
      <w:r w:rsidRPr="00D34A9F">
        <w:rPr>
          <w:rFonts w:ascii="Arial" w:hAnsi="Arial" w:cs="Arial"/>
        </w:rPr>
        <w:t>W celu ograniczenia emisji pyłów na etapie prac realizacyjnych:</w:t>
      </w:r>
    </w:p>
    <w:p w:rsidR="00D34A9F" w:rsidRPr="00D34A9F" w:rsidRDefault="00D34A9F" w:rsidP="00D34A9F">
      <w:pPr>
        <w:numPr>
          <w:ilvl w:val="0"/>
          <w:numId w:val="24"/>
        </w:numPr>
        <w:rPr>
          <w:rFonts w:ascii="Arial" w:hAnsi="Arial" w:cs="Arial"/>
        </w:rPr>
      </w:pPr>
      <w:r w:rsidRPr="00D34A9F">
        <w:rPr>
          <w:rFonts w:ascii="Arial" w:hAnsi="Arial" w:cs="Arial"/>
        </w:rPr>
        <w:t>stosować materiały sypkie o odpowiedniej wilgotności. W przypadku, jeżeli materiały sypkie będą charakteryzowały się niską wilgotnością, w celu ograniczenia pylenia podczas przesypu zraszać je wodą,</w:t>
      </w:r>
    </w:p>
    <w:p w:rsidR="00D34A9F" w:rsidRPr="00D34A9F" w:rsidRDefault="00D34A9F" w:rsidP="00D34A9F">
      <w:pPr>
        <w:numPr>
          <w:ilvl w:val="0"/>
          <w:numId w:val="24"/>
        </w:numPr>
        <w:rPr>
          <w:rFonts w:ascii="Arial" w:hAnsi="Arial" w:cs="Arial"/>
        </w:rPr>
      </w:pPr>
      <w:r w:rsidRPr="00D34A9F">
        <w:rPr>
          <w:rFonts w:ascii="Arial" w:hAnsi="Arial" w:cs="Arial"/>
        </w:rPr>
        <w:t>zraszać teren budowy wodą, w celu ograniczenia wtórnego pylenia w okresie niekorzystnych warunków meteorologicznych (długotrwały brak opadów i wiatr),</w:t>
      </w:r>
    </w:p>
    <w:p w:rsidR="00D34A9F" w:rsidRPr="00D34A9F" w:rsidRDefault="00D34A9F" w:rsidP="00D34A9F">
      <w:pPr>
        <w:numPr>
          <w:ilvl w:val="0"/>
          <w:numId w:val="24"/>
        </w:numPr>
        <w:rPr>
          <w:rFonts w:ascii="Arial" w:hAnsi="Arial" w:cs="Arial"/>
        </w:rPr>
      </w:pPr>
      <w:r w:rsidRPr="00D34A9F">
        <w:rPr>
          <w:rFonts w:ascii="Arial" w:hAnsi="Arial" w:cs="Arial"/>
        </w:rPr>
        <w:t>transportować materiały pylące samochodami, których skrzynia ładunkowa wyposażona zostanie w opończę lub inne zabezpieczenie ograniczające pylenie transportowanego materiału,</w:t>
      </w:r>
    </w:p>
    <w:p w:rsidR="00D34A9F" w:rsidRPr="00D34A9F" w:rsidRDefault="00D34A9F" w:rsidP="00D34A9F">
      <w:pPr>
        <w:numPr>
          <w:ilvl w:val="0"/>
          <w:numId w:val="24"/>
        </w:numPr>
        <w:rPr>
          <w:rFonts w:ascii="Arial" w:hAnsi="Arial" w:cs="Arial"/>
        </w:rPr>
      </w:pPr>
      <w:r w:rsidRPr="00D34A9F">
        <w:rPr>
          <w:rFonts w:ascii="Arial" w:hAnsi="Arial" w:cs="Arial"/>
        </w:rPr>
        <w:t>czyścić pojazdy opuszczające plac budowy oraz okolice wyjazdu z budowy z ziemi/piasku naniesionych na kołach pojazdów.</w:t>
      </w:r>
    </w:p>
    <w:p w:rsidR="00D34A9F" w:rsidRPr="00D34A9F" w:rsidRDefault="00D34A9F" w:rsidP="00D34A9F">
      <w:pPr>
        <w:numPr>
          <w:ilvl w:val="0"/>
          <w:numId w:val="21"/>
        </w:numPr>
        <w:rPr>
          <w:rFonts w:ascii="Arial" w:hAnsi="Arial" w:cs="Arial"/>
        </w:rPr>
      </w:pPr>
      <w:r w:rsidRPr="00D34A9F">
        <w:rPr>
          <w:rFonts w:ascii="Arial" w:hAnsi="Arial" w:cs="Arial"/>
        </w:rPr>
        <w:t>Celem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w:t>
      </w:r>
    </w:p>
    <w:p w:rsidR="00D34A9F" w:rsidRPr="00D34A9F" w:rsidRDefault="00D34A9F" w:rsidP="00D34A9F">
      <w:pPr>
        <w:numPr>
          <w:ilvl w:val="0"/>
          <w:numId w:val="21"/>
        </w:numPr>
        <w:rPr>
          <w:rFonts w:ascii="Arial" w:hAnsi="Arial" w:cs="Arial"/>
        </w:rPr>
      </w:pPr>
      <w:r w:rsidRPr="00D34A9F">
        <w:rPr>
          <w:rFonts w:ascii="Arial" w:hAnsi="Arial" w:cs="Arial"/>
        </w:rPr>
        <w:t>Plac budowy wyposażyć w sorbenty do neutralizacji ewentualnych wycieków substancji ropopochodnych.</w:t>
      </w:r>
    </w:p>
    <w:p w:rsidR="00D34A9F" w:rsidRPr="00D34A9F" w:rsidRDefault="00D34A9F" w:rsidP="00D34A9F">
      <w:pPr>
        <w:numPr>
          <w:ilvl w:val="0"/>
          <w:numId w:val="21"/>
        </w:numPr>
        <w:rPr>
          <w:rFonts w:ascii="Arial" w:hAnsi="Arial" w:cs="Arial"/>
        </w:rPr>
      </w:pPr>
      <w:r w:rsidRPr="00D34A9F">
        <w:rPr>
          <w:rFonts w:ascii="Arial" w:hAnsi="Arial" w:cs="Arial"/>
        </w:rPr>
        <w:t>Na etapie użytkowania inwestycji, zapewnić stałą dostępność sorbentów umożliwiających likwidowanie ewentualnych wycieków surowców oraz produktów.</w:t>
      </w:r>
    </w:p>
    <w:p w:rsidR="00D34A9F" w:rsidRPr="00D34A9F" w:rsidRDefault="00D34A9F" w:rsidP="00D34A9F">
      <w:pPr>
        <w:numPr>
          <w:ilvl w:val="0"/>
          <w:numId w:val="21"/>
        </w:numPr>
        <w:rPr>
          <w:rFonts w:ascii="Arial" w:hAnsi="Arial" w:cs="Arial"/>
        </w:rPr>
      </w:pPr>
      <w:r w:rsidRPr="00D34A9F">
        <w:rPr>
          <w:rFonts w:ascii="Arial" w:hAnsi="Arial" w:cs="Arial"/>
        </w:rPr>
        <w:t>W ramach przedmiotowej inwestycji nie prowadzić procesów przetwarzania odpadów.</w:t>
      </w:r>
    </w:p>
    <w:p w:rsidR="00D34A9F" w:rsidRPr="00D34A9F" w:rsidRDefault="00D34A9F" w:rsidP="00D34A9F">
      <w:pPr>
        <w:numPr>
          <w:ilvl w:val="0"/>
          <w:numId w:val="21"/>
        </w:numPr>
        <w:rPr>
          <w:rFonts w:ascii="Arial" w:hAnsi="Arial" w:cs="Arial"/>
        </w:rPr>
      </w:pPr>
      <w:r w:rsidRPr="00D34A9F">
        <w:rPr>
          <w:rFonts w:ascii="Arial" w:hAnsi="Arial" w:cs="Arial"/>
        </w:rPr>
        <w:t>Odpady powstające w czasie realizacji i eksploatacji inwestycji magazynować selektywnie</w:t>
      </w:r>
      <w:r w:rsidRPr="00D34A9F">
        <w:rPr>
          <w:rFonts w:ascii="Arial" w:hAnsi="Arial" w:cs="Arial"/>
        </w:rPr>
        <w:br/>
        <w:t>w wyznaczonych i przystosowanych do tego celu miejscach, aby wykluczyć zanieczyszczenie</w:t>
      </w:r>
      <w:r w:rsidRPr="00D34A9F">
        <w:rPr>
          <w:rFonts w:ascii="Arial" w:hAnsi="Arial" w:cs="Arial"/>
        </w:rPr>
        <w:br/>
        <w:t>środowiska wodno-gruntowego</w:t>
      </w:r>
      <w:r w:rsidRPr="00D34A9F">
        <w:rPr>
          <w:rFonts w:ascii="Arial" w:hAnsi="Arial" w:cs="Arial"/>
          <w:sz w:val="28"/>
          <w:szCs w:val="28"/>
        </w:rPr>
        <w:t>.</w:t>
      </w:r>
    </w:p>
    <w:p w:rsidR="00D34A9F" w:rsidRPr="00D34A9F" w:rsidRDefault="00D34A9F" w:rsidP="00D34A9F">
      <w:pPr>
        <w:numPr>
          <w:ilvl w:val="0"/>
          <w:numId w:val="21"/>
        </w:numPr>
        <w:rPr>
          <w:rFonts w:ascii="Arial" w:hAnsi="Arial" w:cs="Arial"/>
        </w:rPr>
      </w:pPr>
      <w:r w:rsidRPr="00D34A9F">
        <w:rPr>
          <w:rFonts w:ascii="Arial" w:hAnsi="Arial" w:cs="Arial"/>
        </w:rPr>
        <w:t>Zgromadzone odpady przekazywać firmom posiadającym zezwolenia w zakresie gospodarowania odpadami.</w:t>
      </w:r>
    </w:p>
    <w:p w:rsidR="00D34A9F" w:rsidRPr="00D34A9F" w:rsidRDefault="00D34A9F" w:rsidP="00D34A9F">
      <w:pPr>
        <w:numPr>
          <w:ilvl w:val="0"/>
          <w:numId w:val="21"/>
        </w:numPr>
        <w:rPr>
          <w:rFonts w:ascii="Arial" w:hAnsi="Arial" w:cs="Arial"/>
        </w:rPr>
      </w:pPr>
      <w:r w:rsidRPr="00D34A9F">
        <w:rPr>
          <w:rFonts w:ascii="Arial" w:hAnsi="Arial" w:cs="Arial"/>
        </w:rPr>
        <w:t>Dostawy surowców ciekłych dostarczane cysternami rozładowywać na wannie wychwytowej, aby wykluczyć zanieczyszczenie środowiska wodno-gruntowego.</w:t>
      </w:r>
    </w:p>
    <w:p w:rsidR="00D34A9F" w:rsidRPr="00D34A9F" w:rsidRDefault="00D34A9F" w:rsidP="00D34A9F">
      <w:pPr>
        <w:numPr>
          <w:ilvl w:val="0"/>
          <w:numId w:val="21"/>
        </w:numPr>
        <w:rPr>
          <w:rFonts w:ascii="Arial" w:hAnsi="Arial" w:cs="Arial"/>
        </w:rPr>
      </w:pPr>
      <w:r w:rsidRPr="00D34A9F">
        <w:rPr>
          <w:rFonts w:ascii="Arial" w:hAnsi="Arial" w:cs="Arial"/>
        </w:rPr>
        <w:t>Surowce ciekłe dostarczane cysternami magazynować w szczelnych zbiornikach, umieszczonych poniżej poziomu gruntu na tacy betonowej, aby wykluczyć zanieczyszczenie środowiska wodno- gruntowego.</w:t>
      </w:r>
    </w:p>
    <w:p w:rsidR="00D34A9F" w:rsidRPr="00D34A9F" w:rsidRDefault="00D34A9F" w:rsidP="00D34A9F">
      <w:pPr>
        <w:numPr>
          <w:ilvl w:val="0"/>
          <w:numId w:val="21"/>
        </w:numPr>
        <w:rPr>
          <w:rFonts w:ascii="Arial" w:hAnsi="Arial" w:cs="Arial"/>
        </w:rPr>
      </w:pPr>
      <w:r w:rsidRPr="00D34A9F">
        <w:rPr>
          <w:rFonts w:ascii="Arial" w:hAnsi="Arial" w:cs="Arial"/>
        </w:rPr>
        <w:t>Surowce ciekle dostarczane w opakowaniach magazynować na szczelnej betonowej posadzce,</w:t>
      </w:r>
      <w:r w:rsidRPr="00D34A9F">
        <w:rPr>
          <w:rFonts w:ascii="Arial" w:hAnsi="Arial" w:cs="Arial"/>
        </w:rPr>
        <w:br/>
        <w:t>dodatkowo surowce niebezpieczne postawić na wannach wychwytowych, aby wykluczyć</w:t>
      </w:r>
      <w:r w:rsidRPr="00D34A9F">
        <w:rPr>
          <w:rFonts w:ascii="Arial" w:hAnsi="Arial" w:cs="Arial"/>
        </w:rPr>
        <w:br/>
        <w:t>zanieczyszczenie środowiska wodno-gruntowego.</w:t>
      </w:r>
    </w:p>
    <w:p w:rsidR="00D34A9F" w:rsidRPr="00D34A9F" w:rsidRDefault="00D34A9F" w:rsidP="00D34A9F">
      <w:pPr>
        <w:numPr>
          <w:ilvl w:val="0"/>
          <w:numId w:val="21"/>
        </w:numPr>
        <w:rPr>
          <w:rFonts w:ascii="Arial" w:hAnsi="Arial" w:cs="Arial"/>
        </w:rPr>
      </w:pPr>
      <w:r w:rsidRPr="00D34A9F">
        <w:rPr>
          <w:rFonts w:ascii="Arial" w:hAnsi="Arial" w:cs="Arial"/>
        </w:rPr>
        <w:t>Wszystkie środki chemiczne niezbędne do procesu technologicznego magazynować w sposób</w:t>
      </w:r>
      <w:r w:rsidRPr="00D34A9F">
        <w:rPr>
          <w:rFonts w:ascii="Arial" w:hAnsi="Arial" w:cs="Arial"/>
        </w:rPr>
        <w:br/>
        <w:t>zapewniający zabezpieczenie środowiska wodno-gruntowego.</w:t>
      </w:r>
    </w:p>
    <w:p w:rsidR="00D34A9F" w:rsidRPr="00D34A9F" w:rsidRDefault="00D34A9F" w:rsidP="00D34A9F">
      <w:pPr>
        <w:numPr>
          <w:ilvl w:val="0"/>
          <w:numId w:val="21"/>
        </w:numPr>
        <w:rPr>
          <w:rFonts w:ascii="Arial" w:hAnsi="Arial" w:cs="Arial"/>
        </w:rPr>
      </w:pPr>
      <w:r w:rsidRPr="00D34A9F">
        <w:rPr>
          <w:rFonts w:ascii="Arial" w:hAnsi="Arial" w:cs="Arial"/>
        </w:rPr>
        <w:t>Wyroby gotowe przechowywać na szczelnej posadzce betonowej, a ewentualne wycieki</w:t>
      </w:r>
      <w:r w:rsidRPr="00D34A9F">
        <w:rPr>
          <w:rFonts w:ascii="Arial" w:hAnsi="Arial" w:cs="Arial"/>
        </w:rPr>
        <w:br/>
        <w:t xml:space="preserve">odprowadzać kanalizacją technologiczną do zbiornika ścieków surowych, aby </w:t>
      </w:r>
      <w:r w:rsidRPr="00D34A9F">
        <w:rPr>
          <w:rFonts w:ascii="Arial" w:hAnsi="Arial" w:cs="Arial"/>
        </w:rPr>
        <w:lastRenderedPageBreak/>
        <w:t>wykluczyć</w:t>
      </w:r>
      <w:r w:rsidRPr="00D34A9F">
        <w:rPr>
          <w:rFonts w:ascii="Arial" w:hAnsi="Arial" w:cs="Arial"/>
        </w:rPr>
        <w:br/>
        <w:t>zanieczyszczenie środowiska wodno-gruntowego.</w:t>
      </w:r>
    </w:p>
    <w:p w:rsidR="00D34A9F" w:rsidRPr="00D34A9F" w:rsidRDefault="00D34A9F" w:rsidP="00D34A9F">
      <w:pPr>
        <w:numPr>
          <w:ilvl w:val="0"/>
          <w:numId w:val="21"/>
        </w:numPr>
        <w:rPr>
          <w:rFonts w:ascii="Arial" w:hAnsi="Arial" w:cs="Arial"/>
        </w:rPr>
      </w:pPr>
      <w:r w:rsidRPr="00D34A9F">
        <w:rPr>
          <w:rFonts w:ascii="Arial" w:hAnsi="Arial" w:cs="Arial"/>
        </w:rPr>
        <w:t>Prace budowlane prowadzić ze szczególną ostrożnością, aby wykluczyć zanieczyszczenie środowiska wodno-gruntowego.</w:t>
      </w:r>
    </w:p>
    <w:p w:rsidR="00D34A9F" w:rsidRPr="00D34A9F" w:rsidRDefault="00D34A9F" w:rsidP="00D34A9F">
      <w:pPr>
        <w:numPr>
          <w:ilvl w:val="0"/>
          <w:numId w:val="21"/>
        </w:numPr>
        <w:rPr>
          <w:rFonts w:ascii="Arial" w:hAnsi="Arial" w:cs="Arial"/>
        </w:rPr>
      </w:pPr>
      <w:r w:rsidRPr="00D34A9F">
        <w:rPr>
          <w:rFonts w:ascii="Arial" w:hAnsi="Arial" w:cs="Arial"/>
        </w:rPr>
        <w:t xml:space="preserve">Pojazdy i maszyny utrzymywać w dobrym stanie technicznym, aby zapobiec wyciekom </w:t>
      </w:r>
      <w:r w:rsidRPr="00D34A9F">
        <w:rPr>
          <w:rFonts w:ascii="Arial" w:hAnsi="Arial" w:cs="Arial"/>
        </w:rPr>
        <w:br/>
        <w:t>do środowiska wodno-gruntowego.</w:t>
      </w:r>
    </w:p>
    <w:p w:rsidR="00D34A9F" w:rsidRPr="00D34A9F" w:rsidRDefault="00D34A9F" w:rsidP="00D34A9F">
      <w:pPr>
        <w:numPr>
          <w:ilvl w:val="0"/>
          <w:numId w:val="21"/>
        </w:numPr>
        <w:rPr>
          <w:rFonts w:ascii="Arial" w:hAnsi="Arial" w:cs="Arial"/>
        </w:rPr>
      </w:pPr>
      <w:r w:rsidRPr="00D34A9F">
        <w:rPr>
          <w:rFonts w:ascii="Arial" w:hAnsi="Arial" w:cs="Arial"/>
        </w:rPr>
        <w:t>Place postojowe pojazdów i maszyn zlokalizować na szczelnej, utwardzonej nawierzchni, aby</w:t>
      </w:r>
      <w:r w:rsidRPr="00D34A9F">
        <w:rPr>
          <w:rFonts w:ascii="Arial" w:hAnsi="Arial" w:cs="Arial"/>
        </w:rPr>
        <w:br/>
        <w:t>wykluczyć zanieczyszczenie środowiska wodno-gruntowego.</w:t>
      </w:r>
    </w:p>
    <w:p w:rsidR="00D34A9F" w:rsidRPr="00D34A9F" w:rsidRDefault="00D34A9F" w:rsidP="00D34A9F">
      <w:pPr>
        <w:numPr>
          <w:ilvl w:val="0"/>
          <w:numId w:val="21"/>
        </w:numPr>
        <w:rPr>
          <w:rFonts w:ascii="Arial" w:hAnsi="Arial" w:cs="Arial"/>
        </w:rPr>
      </w:pPr>
      <w:r w:rsidRPr="00D34A9F">
        <w:rPr>
          <w:rFonts w:ascii="Arial" w:hAnsi="Arial" w:cs="Arial"/>
        </w:rPr>
        <w:t xml:space="preserve">Zabiegi związane z konserwacją i naprawami maszyn i urządzeń wykonywać w miejscach </w:t>
      </w:r>
      <w:r w:rsidRPr="00D34A9F">
        <w:rPr>
          <w:rFonts w:ascii="Arial" w:hAnsi="Arial" w:cs="Arial"/>
        </w:rPr>
        <w:br/>
        <w:t>do tego odpowiednio przystosowanych, o podłożu zabezpieczonym, aby wykluczyć zanieczyszczenie środowiska wodno-gruntowego.</w:t>
      </w:r>
    </w:p>
    <w:p w:rsidR="00D34A9F" w:rsidRPr="00D34A9F" w:rsidRDefault="00D34A9F" w:rsidP="00D34A9F">
      <w:pPr>
        <w:numPr>
          <w:ilvl w:val="0"/>
          <w:numId w:val="21"/>
        </w:numPr>
        <w:rPr>
          <w:rFonts w:ascii="Arial" w:hAnsi="Arial" w:cs="Arial"/>
        </w:rPr>
      </w:pPr>
      <w:r w:rsidRPr="00D34A9F">
        <w:rPr>
          <w:rFonts w:ascii="Arial" w:hAnsi="Arial" w:cs="Arial"/>
        </w:rPr>
        <w:t>Teren inwestycji wyposażyć w odpowiednie środki pozwalające na usunięcie ewentualnych</w:t>
      </w:r>
      <w:r w:rsidRPr="00D34A9F">
        <w:rPr>
          <w:rFonts w:ascii="Arial" w:hAnsi="Arial" w:cs="Arial"/>
        </w:rPr>
        <w:br/>
        <w:t xml:space="preserve">wycieków paliw lub innych substancji. </w:t>
      </w:r>
    </w:p>
    <w:p w:rsidR="00D34A9F" w:rsidRPr="00D34A9F" w:rsidRDefault="00D34A9F" w:rsidP="00D34A9F">
      <w:pPr>
        <w:rPr>
          <w:rFonts w:ascii="Arial" w:hAnsi="Arial" w:cs="Arial"/>
        </w:rPr>
      </w:pPr>
      <w:r w:rsidRPr="00D34A9F">
        <w:rPr>
          <w:rFonts w:ascii="Arial" w:hAnsi="Arial" w:cs="Arial"/>
          <w:b/>
        </w:rPr>
        <w:t>III.</w:t>
      </w:r>
      <w:r w:rsidRPr="00D34A9F">
        <w:rPr>
          <w:rFonts w:ascii="Arial" w:hAnsi="Arial" w:cs="Arial"/>
        </w:rPr>
        <w:t xml:space="preserve"> </w:t>
      </w:r>
      <w:r w:rsidRPr="00D34A9F">
        <w:rPr>
          <w:rFonts w:ascii="Arial" w:hAnsi="Arial" w:cs="Arial"/>
          <w:b/>
        </w:rPr>
        <w:t>Wymagania dotyczące ochrony środowiska konieczne do uwzględnienia w dokumentacji wymaganej do wydania decyzji, o których mowa w art. 72 ust. 1, w szczególności w projekcie zagospodarowania działki lub terenu lub projekcie architektoniczno-budowlanym, w przypadku decyzji, o których mowa w art. 72 ust. 1 pkt 1, 10, 14, 18, 23, 26 i 27</w:t>
      </w:r>
    </w:p>
    <w:p w:rsidR="00D34A9F" w:rsidRPr="00D34A9F" w:rsidRDefault="00D34A9F" w:rsidP="00D34A9F">
      <w:pPr>
        <w:numPr>
          <w:ilvl w:val="0"/>
          <w:numId w:val="27"/>
        </w:numPr>
        <w:rPr>
          <w:rFonts w:ascii="Arial" w:hAnsi="Arial" w:cs="Arial"/>
        </w:rPr>
      </w:pPr>
      <w:r w:rsidRPr="00D34A9F">
        <w:rPr>
          <w:rFonts w:ascii="Arial" w:hAnsi="Arial" w:cs="Arial"/>
        </w:rPr>
        <w:t>Wykonać wanny wychwytowe w miejscu rozładunku surowców ciekłych z cystern oraz w miejscu przechowywania ciekłych surowców niebezpiecznych w magazynie.</w:t>
      </w:r>
    </w:p>
    <w:p w:rsidR="00D34A9F" w:rsidRPr="00D34A9F" w:rsidRDefault="00D34A9F" w:rsidP="00D34A9F">
      <w:pPr>
        <w:numPr>
          <w:ilvl w:val="0"/>
          <w:numId w:val="27"/>
        </w:numPr>
        <w:rPr>
          <w:rFonts w:ascii="Arial" w:hAnsi="Arial" w:cs="Arial"/>
        </w:rPr>
      </w:pPr>
      <w:r w:rsidRPr="00D34A9F">
        <w:rPr>
          <w:rFonts w:ascii="Arial" w:hAnsi="Arial" w:cs="Arial"/>
        </w:rPr>
        <w:t>Wodę pobierać z miejskiej sieci wodociągowej.</w:t>
      </w:r>
    </w:p>
    <w:p w:rsidR="00D34A9F" w:rsidRPr="00D34A9F" w:rsidRDefault="00D34A9F" w:rsidP="00D34A9F">
      <w:pPr>
        <w:numPr>
          <w:ilvl w:val="0"/>
          <w:numId w:val="27"/>
        </w:numPr>
        <w:rPr>
          <w:rFonts w:ascii="Arial" w:hAnsi="Arial" w:cs="Arial"/>
        </w:rPr>
      </w:pPr>
      <w:r w:rsidRPr="00D34A9F">
        <w:rPr>
          <w:rFonts w:ascii="Arial" w:hAnsi="Arial" w:cs="Arial"/>
        </w:rPr>
        <w:t>Ścieki bytowe odprowadzać na etapie eksploatacji do miejskiej sieci kanalizacji sanitarnej.</w:t>
      </w:r>
    </w:p>
    <w:p w:rsidR="00D34A9F" w:rsidRPr="00D34A9F" w:rsidRDefault="00D34A9F" w:rsidP="00D34A9F">
      <w:pPr>
        <w:numPr>
          <w:ilvl w:val="0"/>
          <w:numId w:val="27"/>
        </w:numPr>
        <w:rPr>
          <w:rFonts w:ascii="Arial" w:hAnsi="Arial" w:cs="Arial"/>
        </w:rPr>
      </w:pPr>
      <w:r w:rsidRPr="00D34A9F">
        <w:rPr>
          <w:rFonts w:ascii="Arial" w:hAnsi="Arial" w:cs="Arial"/>
        </w:rPr>
        <w:t>Ścieki przemysłowe odprowadzać na etapie eksploatacji do miejskiej sieci kanalizacji sanitarnej, po uprzednim podczyszczeniu w zakładowej podczyszczalni ścieków do wartości określonych przez gestora sieci.</w:t>
      </w:r>
    </w:p>
    <w:p w:rsidR="00D34A9F" w:rsidRPr="00D34A9F" w:rsidRDefault="00D34A9F" w:rsidP="00D34A9F">
      <w:pPr>
        <w:numPr>
          <w:ilvl w:val="0"/>
          <w:numId w:val="27"/>
        </w:numPr>
        <w:rPr>
          <w:rFonts w:ascii="Arial" w:hAnsi="Arial" w:cs="Arial"/>
        </w:rPr>
      </w:pPr>
      <w:r w:rsidRPr="00D34A9F">
        <w:rPr>
          <w:rFonts w:ascii="Arial" w:hAnsi="Arial" w:cs="Arial"/>
        </w:rPr>
        <w:t>Wody opadowe i roztopowe z powierzchni utwardzonych odprowadzać do miejskiej sieci kanalizacji deszczowej, po uprzednim podczyszczeniu w separatorze substancji ropopochodnych.</w:t>
      </w:r>
    </w:p>
    <w:p w:rsidR="00D34A9F" w:rsidRPr="00D34A9F" w:rsidRDefault="00D34A9F" w:rsidP="00D34A9F">
      <w:pPr>
        <w:ind w:left="360"/>
        <w:rPr>
          <w:rFonts w:ascii="Arial" w:hAnsi="Arial" w:cs="Arial"/>
        </w:rPr>
      </w:pPr>
      <w:r w:rsidRPr="00D34A9F">
        <w:rPr>
          <w:rFonts w:ascii="Arial" w:hAnsi="Arial" w:cs="Arial"/>
        </w:rPr>
        <w:t>5. Zewnętrze przegrody budowlane.</w:t>
      </w:r>
    </w:p>
    <w:p w:rsidR="00D34A9F" w:rsidRPr="00D34A9F" w:rsidRDefault="00D34A9F" w:rsidP="00D34A9F">
      <w:pPr>
        <w:numPr>
          <w:ilvl w:val="0"/>
          <w:numId w:val="28"/>
        </w:numPr>
        <w:rPr>
          <w:rFonts w:ascii="Arial" w:hAnsi="Arial" w:cs="Arial"/>
        </w:rPr>
      </w:pPr>
      <w:r w:rsidRPr="00D34A9F">
        <w:rPr>
          <w:rFonts w:ascii="Arial" w:hAnsi="Arial" w:cs="Arial"/>
        </w:rPr>
        <w:t>budynku produkcyjnego w części magazynowej wykonać o izolacyjności akustycznej właściwej – Rw, na poziomie minimum 20 dB dla ścian i minimum 37 dB dla dachu,</w:t>
      </w:r>
    </w:p>
    <w:p w:rsidR="00D34A9F" w:rsidRPr="00D34A9F" w:rsidRDefault="00D34A9F" w:rsidP="00D34A9F">
      <w:pPr>
        <w:numPr>
          <w:ilvl w:val="0"/>
          <w:numId w:val="28"/>
        </w:numPr>
        <w:rPr>
          <w:rFonts w:ascii="Arial" w:hAnsi="Arial" w:cs="Arial"/>
        </w:rPr>
      </w:pPr>
      <w:r w:rsidRPr="00D34A9F">
        <w:rPr>
          <w:rFonts w:ascii="Arial" w:hAnsi="Arial" w:cs="Arial"/>
        </w:rPr>
        <w:t>budynku produkcyjnego w części produkcyjnej wykonać o izolacyjności akustycznej właściwej – Rw, na poziomie minimum 48 dB dla ścian i minimum 37 dB dla dachu,</w:t>
      </w:r>
    </w:p>
    <w:p w:rsidR="00D34A9F" w:rsidRPr="00D34A9F" w:rsidRDefault="00D34A9F" w:rsidP="00D34A9F">
      <w:pPr>
        <w:numPr>
          <w:ilvl w:val="0"/>
          <w:numId w:val="28"/>
        </w:numPr>
        <w:rPr>
          <w:rFonts w:ascii="Arial" w:hAnsi="Arial" w:cs="Arial"/>
        </w:rPr>
      </w:pPr>
      <w:r w:rsidRPr="00D34A9F">
        <w:rPr>
          <w:rFonts w:ascii="Arial" w:hAnsi="Arial" w:cs="Arial"/>
        </w:rPr>
        <w:t>budynku przepompowni monomerów wykonać o izolacyjności akustycznej właściwej – Rw, na poziomie minimum 56 dB dla ścian i minimum 32 dB dla dachu.</w:t>
      </w:r>
    </w:p>
    <w:p w:rsidR="00D34A9F" w:rsidRPr="00D34A9F" w:rsidRDefault="00D34A9F" w:rsidP="00D34A9F">
      <w:pPr>
        <w:numPr>
          <w:ilvl w:val="0"/>
          <w:numId w:val="27"/>
        </w:numPr>
        <w:rPr>
          <w:rFonts w:ascii="Arial" w:hAnsi="Arial" w:cs="Arial"/>
        </w:rPr>
      </w:pPr>
      <w:r w:rsidRPr="00D34A9F">
        <w:rPr>
          <w:rFonts w:ascii="Arial" w:hAnsi="Arial" w:cs="Arial"/>
        </w:rPr>
        <w:t>W najbardziej niekorzystnym wariancie dopuszcza się eksploatację dwóch chłodni</w:t>
      </w:r>
      <w:r w:rsidRPr="00D34A9F">
        <w:rPr>
          <w:rFonts w:ascii="Arial" w:hAnsi="Arial" w:cs="Arial"/>
        </w:rPr>
        <w:br/>
        <w:t>wentylatorowych, przy czym pierwsza z nich (źródło Ch-1) obejmować będzie jednoczesną pracę czterech celek, zaś druga (źródło Ch-2) pracę 1 celki.</w:t>
      </w:r>
    </w:p>
    <w:p w:rsidR="00D34A9F" w:rsidRPr="00D34A9F" w:rsidRDefault="00D34A9F" w:rsidP="00D34A9F">
      <w:pPr>
        <w:ind w:left="720"/>
        <w:rPr>
          <w:rFonts w:ascii="Arial" w:hAnsi="Arial" w:cs="Arial"/>
        </w:rPr>
      </w:pPr>
      <w:r w:rsidRPr="00D34A9F">
        <w:rPr>
          <w:rFonts w:ascii="Arial" w:hAnsi="Arial" w:cs="Arial"/>
        </w:rPr>
        <w:lastRenderedPageBreak/>
        <w:t>Przy poziomie mocy akustycznej pojedynczej celki 90 dB w porze dziennej oraz 85 dB w porze nocnej, poziom mocy akustycznej źródeł zastępczych nie może przekroczyć wielkości:</w:t>
      </w:r>
    </w:p>
    <w:p w:rsidR="00D34A9F" w:rsidRPr="00D34A9F" w:rsidRDefault="00D34A9F" w:rsidP="00D34A9F">
      <w:pPr>
        <w:numPr>
          <w:ilvl w:val="0"/>
          <w:numId w:val="34"/>
        </w:numPr>
        <w:rPr>
          <w:rFonts w:ascii="Arial" w:hAnsi="Arial" w:cs="Arial"/>
        </w:rPr>
      </w:pPr>
      <w:r w:rsidRPr="00D34A9F">
        <w:rPr>
          <w:rFonts w:ascii="Arial" w:hAnsi="Arial" w:cs="Arial"/>
        </w:rPr>
        <w:t>Ch-1: 96 dB w porze dziennej oraz 91 dB w porze nocnej,</w:t>
      </w:r>
    </w:p>
    <w:p w:rsidR="00D34A9F" w:rsidRPr="00D34A9F" w:rsidRDefault="00D34A9F" w:rsidP="00D34A9F">
      <w:pPr>
        <w:numPr>
          <w:ilvl w:val="0"/>
          <w:numId w:val="34"/>
        </w:numPr>
        <w:rPr>
          <w:rFonts w:ascii="Arial" w:hAnsi="Arial" w:cs="Arial"/>
        </w:rPr>
      </w:pPr>
      <w:r w:rsidRPr="00D34A9F">
        <w:rPr>
          <w:rFonts w:ascii="Arial" w:hAnsi="Arial" w:cs="Arial"/>
        </w:rPr>
        <w:t>Ch-2: 90 dB w porze dziennej oraz 85 dB w porze nocnej.</w:t>
      </w:r>
    </w:p>
    <w:p w:rsidR="00D34A9F" w:rsidRPr="00D34A9F" w:rsidRDefault="00D34A9F" w:rsidP="00D34A9F">
      <w:pPr>
        <w:numPr>
          <w:ilvl w:val="0"/>
          <w:numId w:val="27"/>
        </w:numPr>
        <w:rPr>
          <w:rFonts w:ascii="Arial" w:hAnsi="Arial" w:cs="Arial"/>
        </w:rPr>
      </w:pPr>
      <w:r w:rsidRPr="00D34A9F">
        <w:rPr>
          <w:rFonts w:ascii="Arial" w:hAnsi="Arial" w:cs="Arial"/>
        </w:rPr>
        <w:t>Mając na celu zmniejszenie oddziaływania akustycznego wprowadzić rozwiązanie minimalizujące polegające na zastosowaniu przegrody/ekranu akustycznego o minimalnej wysokości 4,5 m przy planowanych chłodniach wentylatorowych, od strony najbliższej zabudowy mieszkaniowej zagrodowej zlokalizowanej na działce nr 25 obręb Kawka, gmina Miasto Włocławek.</w:t>
      </w:r>
    </w:p>
    <w:p w:rsidR="00D34A9F" w:rsidRPr="00D34A9F" w:rsidRDefault="00D34A9F" w:rsidP="00D34A9F">
      <w:pPr>
        <w:numPr>
          <w:ilvl w:val="0"/>
          <w:numId w:val="27"/>
        </w:numPr>
        <w:rPr>
          <w:rFonts w:ascii="Arial" w:hAnsi="Arial" w:cs="Arial"/>
        </w:rPr>
      </w:pPr>
      <w:r w:rsidRPr="00D34A9F">
        <w:rPr>
          <w:rFonts w:ascii="Arial" w:hAnsi="Arial" w:cs="Arial"/>
        </w:rPr>
        <w:t>Zapewnić jak najwyższy stopień hermetyzacji procesów produkcyjnych, minimum w następujący sposób:</w:t>
      </w:r>
    </w:p>
    <w:p w:rsidR="00D34A9F" w:rsidRPr="00D34A9F" w:rsidRDefault="00D34A9F" w:rsidP="00D34A9F">
      <w:pPr>
        <w:numPr>
          <w:ilvl w:val="0"/>
          <w:numId w:val="35"/>
        </w:numPr>
        <w:rPr>
          <w:rFonts w:ascii="Arial" w:hAnsi="Arial" w:cs="Arial"/>
        </w:rPr>
      </w:pPr>
      <w:r w:rsidRPr="00D34A9F">
        <w:rPr>
          <w:rFonts w:ascii="Arial" w:hAnsi="Arial" w:cs="Arial"/>
        </w:rPr>
        <w:t>w trakcie rozładunku surowców, aby zniwelować emisję LZO zastosować wahadło gazowe, które pozwala na redukcję emisji do atmosfery o minimum95%,</w:t>
      </w:r>
    </w:p>
    <w:p w:rsidR="00D34A9F" w:rsidRPr="00D34A9F" w:rsidRDefault="00D34A9F" w:rsidP="00D34A9F">
      <w:pPr>
        <w:numPr>
          <w:ilvl w:val="0"/>
          <w:numId w:val="35"/>
        </w:numPr>
        <w:rPr>
          <w:rFonts w:ascii="Arial" w:hAnsi="Arial" w:cs="Arial"/>
        </w:rPr>
      </w:pPr>
      <w:r w:rsidRPr="00D34A9F">
        <w:rPr>
          <w:rFonts w:ascii="Arial" w:hAnsi="Arial" w:cs="Arial"/>
        </w:rPr>
        <w:t>w trakcie napełniania zbiorników naziemnych monomerów surowce ze zbiorników magazynowych podziemnych przepompowywać rurociągiem.</w:t>
      </w:r>
    </w:p>
    <w:p w:rsidR="00D34A9F" w:rsidRPr="00D34A9F" w:rsidRDefault="00D34A9F" w:rsidP="00D34A9F">
      <w:pPr>
        <w:ind w:left="1440"/>
        <w:rPr>
          <w:rFonts w:ascii="Arial" w:hAnsi="Arial" w:cs="Arial"/>
        </w:rPr>
      </w:pPr>
      <w:r w:rsidRPr="00D34A9F">
        <w:rPr>
          <w:rFonts w:ascii="Arial" w:hAnsi="Arial" w:cs="Arial"/>
        </w:rPr>
        <w:t>Zastosować zbiorniki naziemne szczelne. Wymianę powietrza prowadzić przez zawór oddechowy, który zakończony będzie skruberem/płuczką w celu wychwycenia oparów monomerów i zawrócenia ich do procesu oraz w przypadku napełniania zbiorników monomerem octanu winylu zastosować wahadło gazowe ze zbiornikiem podziemnym, które pozwalają na redukcję emisji do atmosfery o minimum 95%,</w:t>
      </w:r>
    </w:p>
    <w:p w:rsidR="00D34A9F" w:rsidRPr="00D34A9F" w:rsidRDefault="00D34A9F" w:rsidP="00D34A9F">
      <w:pPr>
        <w:numPr>
          <w:ilvl w:val="0"/>
          <w:numId w:val="35"/>
        </w:numPr>
        <w:rPr>
          <w:rFonts w:ascii="Arial" w:hAnsi="Arial" w:cs="Arial"/>
        </w:rPr>
      </w:pPr>
      <w:r w:rsidRPr="00D34A9F">
        <w:rPr>
          <w:rFonts w:ascii="Arial" w:hAnsi="Arial" w:cs="Arial"/>
        </w:rPr>
        <w:t>dozowanie monomerów w trakcie prowadzenia procesu za pomocą pompy</w:t>
      </w:r>
      <w:r w:rsidRPr="00D34A9F">
        <w:rPr>
          <w:rFonts w:ascii="Arial" w:hAnsi="Arial" w:cs="Arial"/>
        </w:rPr>
        <w:br/>
        <w:t>rurociągiem. Reaktory w trakcie dozowania będą zamknięte i uszczelnione,</w:t>
      </w:r>
    </w:p>
    <w:p w:rsidR="00D34A9F" w:rsidRPr="00D34A9F" w:rsidRDefault="00D34A9F" w:rsidP="00D34A9F">
      <w:pPr>
        <w:numPr>
          <w:ilvl w:val="0"/>
          <w:numId w:val="35"/>
        </w:numPr>
        <w:rPr>
          <w:rFonts w:ascii="Arial" w:hAnsi="Arial" w:cs="Arial"/>
        </w:rPr>
      </w:pPr>
      <w:r w:rsidRPr="00D34A9F">
        <w:rPr>
          <w:rFonts w:ascii="Arial" w:hAnsi="Arial" w:cs="Arial"/>
        </w:rPr>
        <w:t xml:space="preserve">silosy magazynowe dla wypełnienia mineralnego wyposażyć w filtry odpylające </w:t>
      </w:r>
      <w:r w:rsidRPr="00D34A9F">
        <w:rPr>
          <w:rFonts w:ascii="Arial" w:hAnsi="Arial" w:cs="Arial"/>
        </w:rPr>
        <w:br/>
        <w:t>o sprawności redukcji na poziomie minimum 99%.</w:t>
      </w:r>
    </w:p>
    <w:p w:rsidR="00D34A9F" w:rsidRPr="00D34A9F" w:rsidRDefault="00D34A9F" w:rsidP="00D34A9F">
      <w:pPr>
        <w:numPr>
          <w:ilvl w:val="0"/>
          <w:numId w:val="27"/>
        </w:numPr>
        <w:rPr>
          <w:rFonts w:ascii="Arial" w:hAnsi="Arial" w:cs="Arial"/>
        </w:rPr>
      </w:pPr>
      <w:r w:rsidRPr="00D34A9F">
        <w:rPr>
          <w:rFonts w:ascii="Arial" w:hAnsi="Arial" w:cs="Arial"/>
        </w:rPr>
        <w:t>Dopuszcza się maksymalnie następujące źródła emisji do powietrza z procesów technologicznych i energetycznych:</w:t>
      </w:r>
    </w:p>
    <w:p w:rsidR="00D34A9F" w:rsidRPr="00D34A9F" w:rsidRDefault="00D34A9F" w:rsidP="00D34A9F">
      <w:pPr>
        <w:rPr>
          <w:rFonts w:ascii="Arial" w:hAnsi="Arial" w:cs="Arial"/>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050"/>
        <w:gridCol w:w="1417"/>
        <w:gridCol w:w="1255"/>
        <w:gridCol w:w="1413"/>
        <w:gridCol w:w="1562"/>
        <w:gridCol w:w="1533"/>
      </w:tblGrid>
      <w:tr w:rsidR="00D34A9F" w:rsidRPr="00D34A9F" w:rsidTr="00334E9B">
        <w:tc>
          <w:tcPr>
            <w:tcW w:w="1135"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Nazwa emitora</w:t>
            </w:r>
          </w:p>
        </w:tc>
        <w:tc>
          <w:tcPr>
            <w:tcW w:w="2126"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 xml:space="preserve">Minimalna </w:t>
            </w:r>
          </w:p>
          <w:p w:rsidR="00D34A9F" w:rsidRPr="00D34A9F" w:rsidRDefault="00D34A9F" w:rsidP="00D34A9F">
            <w:pPr>
              <w:rPr>
                <w:rFonts w:ascii="Arial" w:hAnsi="Arial" w:cs="Arial"/>
                <w:b/>
                <w:sz w:val="20"/>
                <w:szCs w:val="20"/>
              </w:rPr>
            </w:pPr>
            <w:r w:rsidRPr="00D34A9F">
              <w:rPr>
                <w:rFonts w:ascii="Arial" w:hAnsi="Arial" w:cs="Arial"/>
                <w:b/>
                <w:sz w:val="20"/>
                <w:szCs w:val="20"/>
              </w:rPr>
              <w:t>Wysokość emitora</w:t>
            </w:r>
          </w:p>
          <w:p w:rsidR="00D34A9F" w:rsidRPr="00D34A9F" w:rsidRDefault="00D34A9F" w:rsidP="00D34A9F">
            <w:pPr>
              <w:rPr>
                <w:rFonts w:ascii="Arial" w:hAnsi="Arial" w:cs="Arial"/>
                <w:b/>
                <w:sz w:val="20"/>
                <w:szCs w:val="20"/>
              </w:rPr>
            </w:pPr>
            <w:r w:rsidRPr="00D34A9F">
              <w:rPr>
                <w:rFonts w:ascii="Arial" w:hAnsi="Arial" w:cs="Arial"/>
                <w:b/>
                <w:sz w:val="20"/>
                <w:szCs w:val="20"/>
              </w:rPr>
              <w:t>[m]</w:t>
            </w:r>
          </w:p>
        </w:tc>
        <w:tc>
          <w:tcPr>
            <w:tcW w:w="1418"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 xml:space="preserve">Maksymalna </w:t>
            </w:r>
          </w:p>
          <w:p w:rsidR="00D34A9F" w:rsidRPr="00D34A9F" w:rsidRDefault="00D34A9F" w:rsidP="00D34A9F">
            <w:pPr>
              <w:rPr>
                <w:rFonts w:ascii="Arial" w:hAnsi="Arial" w:cs="Arial"/>
                <w:b/>
                <w:sz w:val="20"/>
                <w:szCs w:val="20"/>
              </w:rPr>
            </w:pPr>
            <w:r w:rsidRPr="00D34A9F">
              <w:rPr>
                <w:rFonts w:ascii="Arial" w:hAnsi="Arial" w:cs="Arial"/>
                <w:b/>
                <w:sz w:val="20"/>
                <w:szCs w:val="20"/>
              </w:rPr>
              <w:t>Średnica wewnętrzna</w:t>
            </w:r>
          </w:p>
          <w:p w:rsidR="00D34A9F" w:rsidRPr="00D34A9F" w:rsidRDefault="00D34A9F" w:rsidP="00D34A9F">
            <w:pPr>
              <w:rPr>
                <w:rFonts w:ascii="Arial" w:hAnsi="Arial" w:cs="Arial"/>
                <w:b/>
                <w:sz w:val="20"/>
                <w:szCs w:val="20"/>
              </w:rPr>
            </w:pPr>
            <w:r w:rsidRPr="00D34A9F">
              <w:rPr>
                <w:rFonts w:ascii="Arial" w:hAnsi="Arial" w:cs="Arial"/>
                <w:b/>
                <w:sz w:val="20"/>
                <w:szCs w:val="20"/>
              </w:rPr>
              <w:t>[m]</w:t>
            </w:r>
          </w:p>
        </w:tc>
        <w:tc>
          <w:tcPr>
            <w:tcW w:w="1275"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 xml:space="preserve">Typ emitora </w:t>
            </w:r>
          </w:p>
        </w:tc>
        <w:tc>
          <w:tcPr>
            <w:tcW w:w="1418"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Typ emisji</w:t>
            </w:r>
          </w:p>
        </w:tc>
        <w:tc>
          <w:tcPr>
            <w:tcW w:w="1417"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Lokalizacja</w:t>
            </w:r>
          </w:p>
        </w:tc>
        <w:tc>
          <w:tcPr>
            <w:tcW w:w="1560"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Uwagi</w:t>
            </w:r>
          </w:p>
        </w:tc>
      </w:tr>
      <w:tr w:rsidR="00D34A9F" w:rsidRPr="00D34A9F" w:rsidTr="00334E9B">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E-11</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6,5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Dachowy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Budynek przepompowni monomerów-emisja monomerów. </w:t>
            </w:r>
          </w:p>
          <w:p w:rsidR="00D34A9F" w:rsidRPr="00D34A9F" w:rsidRDefault="00D34A9F" w:rsidP="00D34A9F">
            <w:pPr>
              <w:rPr>
                <w:rFonts w:ascii="Arial" w:hAnsi="Arial" w:cs="Arial"/>
                <w:sz w:val="20"/>
                <w:szCs w:val="20"/>
              </w:rPr>
            </w:pPr>
            <w:r w:rsidRPr="00D34A9F">
              <w:rPr>
                <w:rFonts w:ascii="Arial" w:hAnsi="Arial" w:cs="Arial"/>
                <w:sz w:val="20"/>
                <w:szCs w:val="20"/>
              </w:rPr>
              <w:t xml:space="preserve">Wentylatory mechaniczne używane są jedynie w sytuacjach awaryjnych, rozlania dużych ilości monomeru,  w </w:t>
            </w:r>
            <w:r w:rsidRPr="00D34A9F">
              <w:rPr>
                <w:rFonts w:ascii="Arial" w:hAnsi="Arial" w:cs="Arial"/>
                <w:sz w:val="20"/>
                <w:szCs w:val="20"/>
              </w:rPr>
              <w:lastRenderedPageBreak/>
              <w:t xml:space="preserve">celu zmniejszenia stężenia w budynku poniżej wartości dolnej granicy wybuchowości. </w:t>
            </w:r>
          </w:p>
        </w:tc>
        <w:tc>
          <w:tcPr>
            <w:tcW w:w="1560"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lastRenderedPageBreak/>
              <w:t xml:space="preserve">Nazwa monomeru: octan winylu, kwas akrylowy, metakrylan metylu, styren, aktylan butylu. </w:t>
            </w:r>
          </w:p>
        </w:tc>
      </w:tr>
      <w:tr w:rsidR="00D34A9F" w:rsidRPr="00D34A9F" w:rsidTr="00334E9B">
        <w:trPr>
          <w:trHeight w:val="70"/>
        </w:trPr>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E-12</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6,5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Dachowy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r w:rsidR="00D34A9F" w:rsidRPr="00D34A9F" w:rsidTr="00334E9B">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E-13</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6,5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Dachowy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r w:rsidR="00D34A9F" w:rsidRPr="00D34A9F" w:rsidTr="00334E9B">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E-14</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6,5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Dachowy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shd w:val="clear" w:color="auto" w:fill="auto"/>
          </w:tcPr>
          <w:p w:rsidR="00D34A9F" w:rsidRPr="00D34A9F" w:rsidRDefault="00D34A9F" w:rsidP="00D34A9F">
            <w:pPr>
              <w:rPr>
                <w:rFonts w:ascii="Arial" w:hAnsi="Arial" w:cs="Arial"/>
                <w:sz w:val="20"/>
                <w:szCs w:val="20"/>
              </w:rPr>
            </w:pPr>
          </w:p>
        </w:tc>
      </w:tr>
      <w:tr w:rsidR="00D34A9F" w:rsidRPr="00D34A9F" w:rsidTr="00334E9B">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E-19</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10</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0,4 x 0,4</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Ścienny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Produkcja P1 –emisja poprzez emitor grawitacyjny </w:t>
            </w:r>
          </w:p>
        </w:tc>
        <w:tc>
          <w:tcPr>
            <w:tcW w:w="1560"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Nazwa monomeru: metakrylan metylu, styren, akrylan butylu</w:t>
            </w:r>
          </w:p>
        </w:tc>
      </w:tr>
      <w:tr w:rsidR="00D34A9F" w:rsidRPr="00D34A9F" w:rsidTr="00334E9B">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E-20</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17,5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0,25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Pionowy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Ciąg manualny </w:t>
            </w:r>
          </w:p>
        </w:tc>
        <w:tc>
          <w:tcPr>
            <w:tcW w:w="1417"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Kotłownia-emisja z procesów spalania paliw </w:t>
            </w:r>
          </w:p>
        </w:tc>
        <w:tc>
          <w:tcPr>
            <w:tcW w:w="1560"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Emisja produktów spalania gazu ziemnego CO</w:t>
            </w:r>
            <w:r w:rsidRPr="00D34A9F">
              <w:rPr>
                <w:rFonts w:ascii="Arial" w:hAnsi="Arial" w:cs="Arial"/>
                <w:sz w:val="20"/>
                <w:szCs w:val="20"/>
                <w:vertAlign w:val="subscript"/>
              </w:rPr>
              <w:t>2</w:t>
            </w:r>
            <w:r w:rsidRPr="00D34A9F">
              <w:rPr>
                <w:rFonts w:ascii="Arial" w:hAnsi="Arial" w:cs="Arial"/>
                <w:sz w:val="20"/>
                <w:szCs w:val="20"/>
              </w:rPr>
              <w:t>, CO, NO</w:t>
            </w:r>
            <w:r w:rsidRPr="00D34A9F">
              <w:rPr>
                <w:rFonts w:ascii="Arial" w:hAnsi="Arial" w:cs="Arial"/>
                <w:sz w:val="20"/>
                <w:szCs w:val="20"/>
                <w:vertAlign w:val="subscript"/>
              </w:rPr>
              <w:t>X</w:t>
            </w:r>
            <w:r w:rsidRPr="00D34A9F">
              <w:rPr>
                <w:rFonts w:ascii="Arial" w:hAnsi="Arial" w:cs="Arial"/>
                <w:sz w:val="20"/>
                <w:szCs w:val="20"/>
              </w:rPr>
              <w:t>, SO</w:t>
            </w:r>
            <w:r w:rsidRPr="00D34A9F">
              <w:rPr>
                <w:rFonts w:ascii="Arial" w:hAnsi="Arial" w:cs="Arial"/>
                <w:sz w:val="20"/>
                <w:szCs w:val="20"/>
                <w:vertAlign w:val="subscript"/>
              </w:rPr>
              <w:t>2</w:t>
            </w:r>
            <w:r w:rsidRPr="00D34A9F">
              <w:rPr>
                <w:rFonts w:ascii="Arial" w:hAnsi="Arial" w:cs="Arial"/>
                <w:sz w:val="20"/>
                <w:szCs w:val="20"/>
              </w:rPr>
              <w:t>, PM10, PM2,5</w:t>
            </w:r>
          </w:p>
        </w:tc>
      </w:tr>
      <w:tr w:rsidR="00D34A9F" w:rsidRPr="00D34A9F" w:rsidTr="00334E9B">
        <w:trPr>
          <w:trHeight w:val="495"/>
        </w:trPr>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E-21</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17,5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Pionowy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Ciąg naturalny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r w:rsidR="00D34A9F" w:rsidRPr="00D34A9F" w:rsidTr="00334E9B">
        <w:trPr>
          <w:trHeight w:val="105"/>
        </w:trPr>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E-22</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17,5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Pionowy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Ciąg naturalny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r w:rsidR="00D34A9F" w:rsidRPr="00D34A9F" w:rsidTr="00334E9B">
        <w:trPr>
          <w:trHeight w:val="225"/>
        </w:trPr>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E-23</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10</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0,56</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Ścienny</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Grawitacyjny</w:t>
            </w:r>
          </w:p>
        </w:tc>
        <w:tc>
          <w:tcPr>
            <w:tcW w:w="1417"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Produkcja P3- emisja poprzez emitory grawitacyjne. </w:t>
            </w:r>
          </w:p>
          <w:p w:rsidR="00D34A9F" w:rsidRPr="00D34A9F" w:rsidRDefault="00D34A9F" w:rsidP="00D34A9F">
            <w:pPr>
              <w:rPr>
                <w:rFonts w:ascii="Arial" w:hAnsi="Arial" w:cs="Arial"/>
                <w:sz w:val="20"/>
                <w:szCs w:val="20"/>
              </w:rPr>
            </w:pPr>
            <w:r w:rsidRPr="00D34A9F">
              <w:rPr>
                <w:rFonts w:ascii="Arial" w:hAnsi="Arial" w:cs="Arial"/>
                <w:sz w:val="20"/>
                <w:szCs w:val="20"/>
              </w:rPr>
              <w:t xml:space="preserve">Wentylatory mechaniczne używane są jedynie w sytuacjach awaryjnych rozlania dużych ilości monomeru, w celu zmniejszenia stężenia w budynku poniżej wartości dolnej granicy wytrzymałości. </w:t>
            </w:r>
          </w:p>
        </w:tc>
        <w:tc>
          <w:tcPr>
            <w:tcW w:w="1560"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Nazwa monomeru:</w:t>
            </w:r>
          </w:p>
          <w:p w:rsidR="00D34A9F" w:rsidRPr="00D34A9F" w:rsidRDefault="00D34A9F" w:rsidP="00D34A9F">
            <w:pPr>
              <w:rPr>
                <w:rFonts w:ascii="Arial" w:hAnsi="Arial" w:cs="Arial"/>
                <w:sz w:val="20"/>
                <w:szCs w:val="20"/>
              </w:rPr>
            </w:pPr>
            <w:r w:rsidRPr="00D34A9F">
              <w:rPr>
                <w:rFonts w:ascii="Arial" w:hAnsi="Arial" w:cs="Arial"/>
                <w:sz w:val="20"/>
                <w:szCs w:val="20"/>
              </w:rPr>
              <w:t xml:space="preserve">Octan winylu, etylen </w:t>
            </w:r>
          </w:p>
        </w:tc>
      </w:tr>
      <w:tr w:rsidR="00D34A9F" w:rsidRPr="00D34A9F" w:rsidTr="00334E9B">
        <w:trPr>
          <w:trHeight w:val="109"/>
        </w:trPr>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E-24</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10</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0,56</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Ścienny</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Grawitacyjny</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r w:rsidR="00D34A9F" w:rsidRPr="00D34A9F" w:rsidTr="00334E9B">
        <w:trPr>
          <w:trHeight w:val="105"/>
        </w:trPr>
        <w:tc>
          <w:tcPr>
            <w:tcW w:w="1135" w:type="dxa"/>
            <w:tcBorders>
              <w:bottom w:val="single" w:sz="4" w:space="0" w:color="auto"/>
            </w:tcBorders>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E-25</w:t>
            </w:r>
          </w:p>
        </w:tc>
        <w:tc>
          <w:tcPr>
            <w:tcW w:w="2126" w:type="dxa"/>
            <w:tcBorders>
              <w:bottom w:val="single" w:sz="4" w:space="0" w:color="auto"/>
            </w:tcBorders>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10</w:t>
            </w:r>
          </w:p>
        </w:tc>
        <w:tc>
          <w:tcPr>
            <w:tcW w:w="1418" w:type="dxa"/>
            <w:tcBorders>
              <w:bottom w:val="single" w:sz="4" w:space="0" w:color="auto"/>
            </w:tcBorders>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0,56</w:t>
            </w:r>
          </w:p>
        </w:tc>
        <w:tc>
          <w:tcPr>
            <w:tcW w:w="1275" w:type="dxa"/>
            <w:tcBorders>
              <w:bottom w:val="single" w:sz="4" w:space="0" w:color="auto"/>
            </w:tcBorders>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Ścienny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bl>
    <w:p w:rsidR="00D34A9F" w:rsidRPr="00D34A9F" w:rsidRDefault="00D34A9F" w:rsidP="00D34A9F">
      <w:pPr>
        <w:rPr>
          <w:rFonts w:ascii="Arial" w:hAnsi="Arial" w:cs="Arial"/>
        </w:rPr>
      </w:pPr>
    </w:p>
    <w:p w:rsidR="00D34A9F" w:rsidRPr="00D34A9F" w:rsidRDefault="00D34A9F" w:rsidP="00D34A9F">
      <w:pPr>
        <w:numPr>
          <w:ilvl w:val="0"/>
          <w:numId w:val="27"/>
        </w:numPr>
        <w:rPr>
          <w:rFonts w:ascii="Arial" w:hAnsi="Arial" w:cs="Arial"/>
        </w:rPr>
      </w:pPr>
      <w:r w:rsidRPr="00D34A9F">
        <w:rPr>
          <w:rFonts w:ascii="Arial" w:hAnsi="Arial" w:cs="Arial"/>
        </w:rPr>
        <w:t xml:space="preserve">Zaplanować i wykonać nasadzenia zieleni otaczającej zakład. Do nasadzeń stosowa wyłącznie rodzime gatunki drzew i krzewów (np. świerk pospolity, grab, buk, brzoza, oraz rodzime gatunki dębów i klonów), w tym zimozielone. Do nasadzeń wykorzystać sadzonki drzew o dobrze rozwiniętym systemie korzeniowym i wysokości minimum 200 cm oraz krzewów o dobrze rozwiniętym systemie korzeniowym i poprawnie rozkrzewionej części nadziemnej. </w:t>
      </w:r>
    </w:p>
    <w:p w:rsidR="00D34A9F" w:rsidRPr="00D34A9F" w:rsidRDefault="00D34A9F" w:rsidP="00D34A9F">
      <w:pPr>
        <w:ind w:left="720"/>
        <w:rPr>
          <w:rFonts w:ascii="Arial" w:hAnsi="Arial" w:cs="Arial"/>
          <w:b/>
        </w:rPr>
      </w:pPr>
    </w:p>
    <w:p w:rsidR="00D34A9F" w:rsidRPr="00D34A9F" w:rsidRDefault="00D34A9F" w:rsidP="00D34A9F">
      <w:pPr>
        <w:rPr>
          <w:rFonts w:ascii="Arial" w:hAnsi="Arial" w:cs="Arial"/>
          <w:b/>
        </w:rPr>
      </w:pPr>
      <w:r w:rsidRPr="00D34A9F">
        <w:rPr>
          <w:rFonts w:ascii="Arial" w:hAnsi="Arial" w:cs="Arial"/>
          <w:b/>
        </w:rPr>
        <w:t>IV.</w:t>
      </w:r>
      <w:r w:rsidRPr="00D34A9F">
        <w:rPr>
          <w:rFonts w:ascii="Arial" w:hAnsi="Arial" w:cs="Arial"/>
        </w:rPr>
        <w:t xml:space="preserve"> </w:t>
      </w:r>
      <w:r w:rsidRPr="00D34A9F">
        <w:rPr>
          <w:rFonts w:ascii="Arial" w:hAnsi="Arial" w:cs="Arial"/>
          <w:b/>
        </w:rPr>
        <w:t xml:space="preserve">Wymogi w zakresie przeciwdziałania skutkom awarii przemysłowych, w odniesieniu </w:t>
      </w:r>
      <w:r w:rsidRPr="00D34A9F">
        <w:rPr>
          <w:rFonts w:ascii="Arial" w:hAnsi="Arial" w:cs="Arial"/>
          <w:b/>
        </w:rPr>
        <w:br/>
        <w:t>do przedsięwzięć zaliczanych do zakładów stwarzających zagrożenie wystąpienia poważnych awarii w rozumieniu ustawy z dnia 27 kwietnia 2001 r. Prawo ochrony środowiska</w:t>
      </w:r>
    </w:p>
    <w:p w:rsidR="00D34A9F" w:rsidRPr="00D34A9F" w:rsidRDefault="00D34A9F" w:rsidP="00D34A9F">
      <w:pPr>
        <w:rPr>
          <w:rFonts w:ascii="Arial" w:hAnsi="Arial" w:cs="Arial"/>
        </w:rPr>
      </w:pPr>
      <w:r w:rsidRPr="00D34A9F">
        <w:rPr>
          <w:rFonts w:ascii="Arial" w:hAnsi="Arial" w:cs="Arial"/>
        </w:rPr>
        <w:t xml:space="preserve">Projektowany zakład zalicza się do kategorii zakładów o zwiększonym ryzyku wystąpienia awarii przemysłowej, w myśl rozporządzenia Ministra Rozwoju z dnia 29 </w:t>
      </w:r>
      <w:r w:rsidRPr="00D34A9F">
        <w:rPr>
          <w:rFonts w:ascii="Arial" w:hAnsi="Arial" w:cs="Arial"/>
        </w:rPr>
        <w:lastRenderedPageBreak/>
        <w:t xml:space="preserve">stycznia 2016 r. w sprawie rodzajów </w:t>
      </w:r>
      <w:r w:rsidRPr="00D34A9F">
        <w:rPr>
          <w:rFonts w:ascii="Arial" w:hAnsi="Arial" w:cs="Arial"/>
        </w:rPr>
        <w:br/>
        <w:t xml:space="preserve">i ilości znajdujących się w zakładzie substancji niebezpiecznych, decydujących o zaliczeniu zakładu </w:t>
      </w:r>
      <w:r w:rsidRPr="00D34A9F">
        <w:rPr>
          <w:rFonts w:ascii="Arial" w:hAnsi="Arial" w:cs="Arial"/>
        </w:rPr>
        <w:br/>
        <w:t xml:space="preserve">do zakładu o zwiększonym lub dużym ryzyku wystąpienia poważnej awarii przemysłowej (Dz. U.  </w:t>
      </w:r>
      <w:r w:rsidRPr="00D34A9F">
        <w:rPr>
          <w:rFonts w:ascii="Arial" w:hAnsi="Arial" w:cs="Arial"/>
        </w:rPr>
        <w:br/>
        <w:t xml:space="preserve">z 2016 r., poz. 138 j.t.). </w:t>
      </w: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W zakładzie zostaną wprowadzone instrukcje postępowania związane ze zdarzeniami powstającymi </w:t>
      </w:r>
      <w:r w:rsidRPr="00D34A9F">
        <w:rPr>
          <w:rFonts w:ascii="Arial" w:eastAsia="Calibri" w:hAnsi="Arial" w:cs="Arial"/>
          <w:color w:val="000000"/>
        </w:rPr>
        <w:br/>
        <w:t xml:space="preserve">w wyniku poważnej awarii: </w:t>
      </w: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 Instrukcja Ewakuacji – obowiązująca podczas zagrożeń pożarem, wybuchem lub innym nadzwyczajnym zagrożeniem dla środowiska, </w:t>
      </w: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 Instrukcja postępowania w przypadku wystąpienia pożaru. </w:t>
      </w:r>
    </w:p>
    <w:p w:rsidR="00D34A9F" w:rsidRPr="00D34A9F" w:rsidRDefault="00D34A9F" w:rsidP="00D34A9F">
      <w:pPr>
        <w:autoSpaceDE w:val="0"/>
        <w:autoSpaceDN w:val="0"/>
        <w:adjustRightInd w:val="0"/>
        <w:rPr>
          <w:rFonts w:ascii="Arial" w:eastAsia="Calibri" w:hAnsi="Arial" w:cs="Arial"/>
          <w:color w:val="000000"/>
        </w:rPr>
      </w:pP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Celem Instrukcji Ewakuacji będzie określenie zasad i trybu postępowania w przypadku ewakuacji zagrożonych pracowników i innych osób, przebywających na terenie zakładu na wypadek zagrożenia pożarowego lub innego nadzwyczajnego zagrożenia dla środowiska. Celem Instrukcji postępowania </w:t>
      </w:r>
      <w:r w:rsidRPr="00D34A9F">
        <w:rPr>
          <w:rFonts w:ascii="Arial" w:eastAsia="Calibri" w:hAnsi="Arial" w:cs="Arial"/>
          <w:color w:val="000000"/>
        </w:rPr>
        <w:br/>
        <w:t xml:space="preserve">w przypadku wystąpienia pożaru będzie zapewnienie właściwego postępowania osób przebywających na terenie zakładu w przypadku wystąpienia pożaru. Obie instrukcje określą odpowiedzialność poszczególnych osób w zakresie m.in. kierowania akcją i oceny zaistniałego zagrożenia oraz sposobu postępowania w wypadku zaistnienia zdarzenia. </w:t>
      </w:r>
    </w:p>
    <w:p w:rsidR="00D34A9F" w:rsidRPr="00D34A9F" w:rsidRDefault="00D34A9F" w:rsidP="00D34A9F">
      <w:pPr>
        <w:rPr>
          <w:rFonts w:ascii="Arial" w:eastAsia="Calibri" w:hAnsi="Arial" w:cs="Arial"/>
          <w:color w:val="000000"/>
        </w:rPr>
      </w:pPr>
    </w:p>
    <w:p w:rsidR="00D34A9F" w:rsidRPr="00D34A9F" w:rsidRDefault="00D34A9F" w:rsidP="00D34A9F">
      <w:pPr>
        <w:rPr>
          <w:rFonts w:ascii="Arial" w:eastAsia="Calibri" w:hAnsi="Arial" w:cs="Arial"/>
          <w:color w:val="000000"/>
        </w:rPr>
      </w:pPr>
      <w:r w:rsidRPr="00D34A9F">
        <w:rPr>
          <w:rFonts w:ascii="Arial" w:eastAsia="Calibri" w:hAnsi="Arial" w:cs="Arial"/>
          <w:color w:val="000000"/>
        </w:rPr>
        <w:t>Oprócz wprowadzenia wymienionych instrukcji wypełnione zostaną obowiązki zgodnie z Rozdziałem 2 Obowiązki prowadzącego zakład stwarzający zagrożenie wystąpienia awarii przemysłowej, Prawa ochrony środowiska (Dz.U. 2020 poz. 1219).</w:t>
      </w:r>
    </w:p>
    <w:p w:rsidR="00D34A9F" w:rsidRPr="00D34A9F" w:rsidRDefault="00D34A9F" w:rsidP="00D34A9F">
      <w:pPr>
        <w:rPr>
          <w:rFonts w:ascii="Arial" w:eastAsia="Calibri" w:hAnsi="Arial" w:cs="Arial"/>
          <w:color w:val="000000"/>
        </w:rPr>
      </w:pPr>
    </w:p>
    <w:p w:rsidR="00D34A9F" w:rsidRPr="00D34A9F" w:rsidRDefault="00D34A9F" w:rsidP="00D34A9F">
      <w:pPr>
        <w:rPr>
          <w:rFonts w:ascii="Arial" w:hAnsi="Arial" w:cs="Arial"/>
          <w:b/>
        </w:rPr>
      </w:pPr>
      <w:r w:rsidRPr="00D34A9F">
        <w:rPr>
          <w:rFonts w:ascii="Arial" w:eastAsia="Calibri" w:hAnsi="Arial" w:cs="Arial"/>
          <w:b/>
          <w:color w:val="000000"/>
        </w:rPr>
        <w:t>V.</w:t>
      </w:r>
      <w:r w:rsidRPr="00D34A9F">
        <w:rPr>
          <w:rFonts w:ascii="Arial" w:eastAsia="Calibri" w:hAnsi="Arial" w:cs="Arial"/>
          <w:color w:val="000000"/>
        </w:rPr>
        <w:t xml:space="preserve"> </w:t>
      </w:r>
      <w:r w:rsidRPr="00D34A9F">
        <w:rPr>
          <w:rFonts w:ascii="Arial" w:hAnsi="Arial" w:cs="Arial"/>
          <w:b/>
        </w:rPr>
        <w:t>Wymogi w zakresie ograniczania transgranicznego oddziaływania na środowisko w odniesieniu do przedsięwzięć, dla których przeprowadzono postępowanie w sprawie transgranicznego oddziaływania na środowisko.</w:t>
      </w:r>
    </w:p>
    <w:p w:rsidR="00D34A9F" w:rsidRPr="00D34A9F" w:rsidRDefault="00D34A9F" w:rsidP="00D34A9F">
      <w:pPr>
        <w:rPr>
          <w:rFonts w:ascii="Arial" w:hAnsi="Arial" w:cs="Arial"/>
        </w:rPr>
      </w:pPr>
      <w:r w:rsidRPr="00D34A9F">
        <w:rPr>
          <w:rFonts w:ascii="Arial" w:hAnsi="Arial" w:cs="Arial"/>
        </w:rPr>
        <w:t xml:space="preserve">Przed rozpoczęciem realizacji przedsięwzięcia nie należy przeprowadzać oceny oddziaływania na środowisko oraz postępowania w sprawie transgranicznego oddziaływania na środowisko, w ramach postępowania  w sprawie wydania decyzji, o których mowa w art. 72 ust. 1 uouioś. </w:t>
      </w:r>
    </w:p>
    <w:p w:rsidR="00D34A9F" w:rsidRPr="00D34A9F" w:rsidRDefault="00D34A9F" w:rsidP="00D34A9F">
      <w:pPr>
        <w:rPr>
          <w:rFonts w:ascii="Arial" w:hAnsi="Arial" w:cs="Arial"/>
        </w:rPr>
      </w:pPr>
    </w:p>
    <w:p w:rsidR="00D34A9F" w:rsidRPr="00D34A9F" w:rsidRDefault="00D34A9F" w:rsidP="00D34A9F">
      <w:pPr>
        <w:rPr>
          <w:rFonts w:ascii="Arial" w:hAnsi="Arial" w:cs="Arial"/>
          <w:b/>
        </w:rPr>
      </w:pPr>
      <w:r w:rsidRPr="00D34A9F">
        <w:rPr>
          <w:rFonts w:ascii="Arial" w:hAnsi="Arial" w:cs="Arial"/>
          <w:b/>
        </w:rPr>
        <w:t>Uzasadnienie</w:t>
      </w:r>
    </w:p>
    <w:p w:rsidR="00D34A9F" w:rsidRPr="00D34A9F" w:rsidRDefault="00D34A9F" w:rsidP="00D34A9F">
      <w:pPr>
        <w:rPr>
          <w:rFonts w:ascii="Arial" w:hAnsi="Arial" w:cs="Arial"/>
          <w:b/>
        </w:rPr>
      </w:pPr>
    </w:p>
    <w:p w:rsidR="00D34A9F" w:rsidRPr="00D34A9F" w:rsidRDefault="00D34A9F" w:rsidP="00D34A9F">
      <w:pPr>
        <w:rPr>
          <w:rFonts w:ascii="Arial" w:hAnsi="Arial" w:cs="Arial"/>
        </w:rPr>
      </w:pPr>
      <w:r w:rsidRPr="00D34A9F">
        <w:rPr>
          <w:rFonts w:ascii="Arial" w:hAnsi="Arial" w:cs="Arial"/>
        </w:rPr>
        <w:t>Wnioskiem z dnia 07.03.2019 r. Pani Magdalena Ozimek ówczesny pełnomocnik spółki PPP</w:t>
      </w:r>
      <w:r w:rsidR="00CB43AC">
        <w:rPr>
          <w:rFonts w:ascii="Arial" w:hAnsi="Arial" w:cs="Arial"/>
        </w:rPr>
        <w:t xml:space="preserve">olymers </w:t>
      </w:r>
      <w:r w:rsidRPr="00D34A9F">
        <w:rPr>
          <w:rFonts w:ascii="Arial" w:hAnsi="Arial" w:cs="Arial"/>
        </w:rPr>
        <w:t>Sp.  z o.o. ul. Ikara 5, 64-100 Strzyżowice wystąpiła do tut. organu o ustalenie zakresu raportu oddziaływania przedsięwzięcia na  środowisko i wydania decyzji o środowiskowych uwarunkowaniach dla przedsięwzięcia pn. „Budowa instalacji do produkcji klejów przemysłowych oraz wodnych dyspersji polimerów i kopolimerów winylowych oraz akrylowych we Włocławku, przy ul. Zalesie ma działce nr ew. 4/35”.</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Do wniosku o ustalenie zakresu raportu ooś Wnioskodawca załączył kartę informacyjną przedsięwzięcia oraz pozostałe załączniki.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lastRenderedPageBreak/>
        <w:t>Dane o złożonym wniosku zostały umieszczone w publicznie dostępnym wykazie danych o dokumentach prowadzonym przez Prezydenta Miasta Włocławek poprzez zamieszczenie na stronie internetowej Urzędu Miasta Włocławek w Biuletynie Informacji Publicznej.</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Planowane przedsięwzięcie zostało zaliczone do kategorii przedsięwzięć, o których mowa w art. 71 ust. 2 pkt 1 ustawy o udostępnieniu informacji o środowisku i jego ochronie, udziale społeczeństwa w ochronie środowiska oraz o ocenach oddziaływania na środowisko. Ponadto przedmiotowe kwalifikuje się </w:t>
      </w:r>
      <w:r w:rsidRPr="00D34A9F">
        <w:rPr>
          <w:rFonts w:ascii="Arial" w:hAnsi="Arial" w:cs="Arial"/>
        </w:rPr>
        <w:br/>
        <w:t>do przedsięwzięć wymienionych w ww. rozporządzeniu Rady Ministrów z dnia 9 listopada 2010 r., dla których obowiązek przeprowadzenia oceny oddziaływania na środowisko jest obligatoryjny:</w:t>
      </w:r>
    </w:p>
    <w:p w:rsidR="00D34A9F" w:rsidRPr="00D34A9F" w:rsidRDefault="00D34A9F" w:rsidP="00D34A9F">
      <w:pPr>
        <w:rPr>
          <w:rFonts w:ascii="Arial" w:hAnsi="Arial" w:cs="Arial"/>
        </w:rPr>
      </w:pPr>
      <w:r w:rsidRPr="00D34A9F">
        <w:rPr>
          <w:rFonts w:ascii="Arial" w:hAnsi="Arial" w:cs="Arial"/>
        </w:rPr>
        <w:t xml:space="preserve">- § 2 ust. 1 pkt 1 lit. a  „instalacje do wyrobu substancji przy zastosowaniu procesów chemicznych służące do wytwarzania podstawowych produktów lub półproduktów chemii organicznej”. </w:t>
      </w:r>
    </w:p>
    <w:p w:rsidR="00D34A9F" w:rsidRPr="00D34A9F" w:rsidRDefault="00D34A9F" w:rsidP="00D34A9F">
      <w:pPr>
        <w:rPr>
          <w:rFonts w:ascii="Arial" w:hAnsi="Arial" w:cs="Arial"/>
        </w:rPr>
      </w:pPr>
      <w:r w:rsidRPr="00D34A9F">
        <w:rPr>
          <w:rFonts w:ascii="Arial" w:hAnsi="Arial" w:cs="Arial"/>
        </w:rPr>
        <w:t>- § 3 ust. 1 pkt 1, tj.: „instalacje do wytwarzania produktów przez mieszanie, emulgowanie lub konfekcjonowanie chemicznych półproduktów lub produktów podstawowych”,</w:t>
      </w:r>
    </w:p>
    <w:p w:rsidR="00D34A9F" w:rsidRPr="00D34A9F" w:rsidRDefault="00D34A9F" w:rsidP="00D34A9F">
      <w:pPr>
        <w:rPr>
          <w:rFonts w:ascii="Arial" w:hAnsi="Arial" w:cs="Arial"/>
        </w:rPr>
      </w:pPr>
      <w:r w:rsidRPr="00D34A9F">
        <w:rPr>
          <w:rFonts w:ascii="Arial" w:hAnsi="Arial" w:cs="Arial"/>
        </w:rPr>
        <w:t>- § 3 ust. 1 pkt 36, tj.: „instalacje do podziemnego magazynowania ropy naftowej, produktów naftowych, substancji lub mieszanin, w rozumieniu przepisów ustawy z dnia 25 lutego 2011 r. o substancjach chemicznych i ich mieszaninach, niebędących produktami spożywczymi, gazów łatwopalnych oraz innych kopalnych surowców energetycznych, inne niż wymienione w pkt 36a i § 2 ust. 1 pkt 22, z wyłączeniem instalacji do magazynowania paliw wykorzystywanych na potrzeby gospodarstw domowych, zbiorników na gaz płynny o łącznej pojemności nie większej niż 20 m</w:t>
      </w:r>
      <w:r w:rsidRPr="00D34A9F">
        <w:rPr>
          <w:rFonts w:ascii="Arial" w:hAnsi="Arial" w:cs="Arial"/>
          <w:vertAlign w:val="superscript"/>
        </w:rPr>
        <w:t>3</w:t>
      </w:r>
      <w:r w:rsidRPr="00D34A9F">
        <w:rPr>
          <w:rFonts w:ascii="Arial" w:hAnsi="Arial" w:cs="Arial"/>
        </w:rPr>
        <w:t xml:space="preserve"> oraz zbiorników na olej o łącznej pojemności nie większej niż 3 m</w:t>
      </w:r>
      <w:r w:rsidRPr="00D34A9F">
        <w:rPr>
          <w:rFonts w:ascii="Arial" w:hAnsi="Arial" w:cs="Arial"/>
          <w:vertAlign w:val="superscript"/>
        </w:rPr>
        <w:t>3</w:t>
      </w:r>
      <w:r w:rsidRPr="00D34A9F">
        <w:rPr>
          <w:rFonts w:ascii="Arial" w:hAnsi="Arial" w:cs="Arial"/>
        </w:rPr>
        <w:t>”,</w:t>
      </w:r>
    </w:p>
    <w:p w:rsidR="00D34A9F" w:rsidRPr="00D34A9F" w:rsidRDefault="00D34A9F" w:rsidP="00D34A9F">
      <w:pPr>
        <w:rPr>
          <w:rFonts w:ascii="Arial" w:hAnsi="Arial" w:cs="Arial"/>
        </w:rPr>
      </w:pPr>
      <w:r w:rsidRPr="00D34A9F">
        <w:rPr>
          <w:rFonts w:ascii="Arial" w:hAnsi="Arial" w:cs="Arial"/>
        </w:rPr>
        <w:t xml:space="preserve">- § 3 1 pkt 37, tj.: „instalacje do naziemnego magazynowania ropy naftowej, produktów naftowych, substancji lub mieszanin,  w rozumieniu przepisów z dnia 25 lutego 2011 r. o substancjach chemicznych </w:t>
      </w:r>
      <w:r w:rsidRPr="00D34A9F">
        <w:rPr>
          <w:rFonts w:ascii="Arial" w:hAnsi="Arial" w:cs="Arial"/>
        </w:rPr>
        <w:br/>
        <w:t xml:space="preserve">i ich mieszaninach, niebędących produktami spożywczymi, gazów łatwopalnych oraz innych kopalnych surowców energetycznych, inne niż wymienione w § 2 ust. 1 pkt 22, z wyłączeniem instalacji </w:t>
      </w:r>
      <w:r w:rsidRPr="00D34A9F">
        <w:rPr>
          <w:rFonts w:ascii="Arial" w:hAnsi="Arial" w:cs="Arial"/>
        </w:rPr>
        <w:br/>
        <w:t>do magazynowania paliw wykorzystywanych na potrzeby gospodarstw domowych, zbiorników na gaz płynny o łącznej pojemności nie większej niż 10 m</w:t>
      </w:r>
      <w:r w:rsidRPr="00D34A9F">
        <w:rPr>
          <w:rFonts w:ascii="Arial" w:hAnsi="Arial" w:cs="Arial"/>
          <w:vertAlign w:val="superscript"/>
        </w:rPr>
        <w:t>3</w:t>
      </w:r>
      <w:r w:rsidRPr="00D34A9F">
        <w:rPr>
          <w:rFonts w:ascii="Arial" w:hAnsi="Arial" w:cs="Arial"/>
        </w:rPr>
        <w:t xml:space="preserve"> oraz zbiorników na olej o łącznej pojemności nie większej niż 3 m</w:t>
      </w:r>
      <w:r w:rsidRPr="00D34A9F">
        <w:rPr>
          <w:rFonts w:ascii="Arial" w:hAnsi="Arial" w:cs="Arial"/>
          <w:vertAlign w:val="superscript"/>
        </w:rPr>
        <w:t>3</w:t>
      </w:r>
      <w:r w:rsidRPr="00D34A9F">
        <w:rPr>
          <w:rFonts w:ascii="Arial" w:hAnsi="Arial" w:cs="Arial"/>
        </w:rPr>
        <w:t>”, a także niezwiązanych z dystrybucją instalacji do magazynowania stałych surowców energetycznych”.</w:t>
      </w:r>
    </w:p>
    <w:p w:rsidR="00D34A9F" w:rsidRPr="00D34A9F" w:rsidRDefault="00D34A9F" w:rsidP="00D34A9F">
      <w:pPr>
        <w:rPr>
          <w:rFonts w:ascii="Arial" w:hAnsi="Arial" w:cs="Arial"/>
        </w:rPr>
      </w:pPr>
      <w:r w:rsidRPr="00D34A9F">
        <w:rPr>
          <w:rFonts w:ascii="Arial" w:hAnsi="Arial" w:cs="Arial"/>
        </w:rPr>
        <w:t>- § 3 ust. 1 pkt 78: „instalacje do oczyszczania ścieków przemysłowych z wyłączeniem instalacji, które nie powodują wprowadzania do wód lub urządzeń ścieków zawierających substancje szczególnie szkodliwe dla środowiska wodnego, wymienione w załączniku nr 11 do rozporządzenia Ministra Środowiska</w:t>
      </w:r>
      <w:r w:rsidRPr="00D34A9F">
        <w:rPr>
          <w:rFonts w:ascii="Arial" w:hAnsi="Arial" w:cs="Arial"/>
        </w:rPr>
        <w:br/>
        <w:t>z dnia 24 lipca 2006 r. w sprawie warunków, jakie należy spełnić przy wprowadzaniu ścieków do wód lub do ziemi, oraz w sprawie substancji szczególnie szkodliwych dla środowiska wodnego (Dz. U. Nr 137, poz. 984 oraz z 2009 r. Nr 27, poz. 169)”.</w:t>
      </w:r>
    </w:p>
    <w:p w:rsidR="00D34A9F" w:rsidRPr="00D34A9F" w:rsidRDefault="00D34A9F" w:rsidP="00D34A9F">
      <w:pPr>
        <w:rPr>
          <w:rFonts w:ascii="Arial" w:hAnsi="Arial" w:cs="Arial"/>
        </w:rPr>
      </w:pPr>
      <w:r w:rsidRPr="00D34A9F">
        <w:rPr>
          <w:rFonts w:ascii="Arial" w:hAnsi="Arial" w:cs="Arial"/>
        </w:rPr>
        <w:br/>
        <w:t>W niniejszej sprawie mają zastosowanie przepisy przejściowe wynikające z § 4 rozporządzenia Rady Ministrów z dnia 10 września 2019 r. w sprawie przedsięwzięć mogących znacząco oddziaływać na środowisko (Dz. U. z 2019 r., poz. 1839 j.t.).</w:t>
      </w:r>
    </w:p>
    <w:p w:rsidR="00D34A9F" w:rsidRPr="00D34A9F" w:rsidRDefault="00D34A9F" w:rsidP="00D34A9F">
      <w:pPr>
        <w:rPr>
          <w:rFonts w:ascii="Arial" w:hAnsi="Arial" w:cs="Arial"/>
        </w:rPr>
      </w:pPr>
      <w:r w:rsidRPr="00D34A9F">
        <w:rPr>
          <w:rFonts w:ascii="Arial" w:hAnsi="Arial" w:cs="Arial"/>
        </w:rPr>
        <w:br/>
        <w:t xml:space="preserve">Pismem z dnia 14.03.2019 r. znak: S.6220.21.2019 tut. organ zawiadomił o </w:t>
      </w:r>
      <w:r w:rsidR="00CB43AC">
        <w:rPr>
          <w:rFonts w:ascii="Arial" w:hAnsi="Arial" w:cs="Arial"/>
        </w:rPr>
        <w:lastRenderedPageBreak/>
        <w:t xml:space="preserve">wszczęciu postępowania </w:t>
      </w:r>
      <w:r w:rsidRPr="00D34A9F">
        <w:rPr>
          <w:rFonts w:ascii="Arial" w:hAnsi="Arial" w:cs="Arial"/>
        </w:rPr>
        <w:t>w przedmiocie ustalenia zakresu raportu ooś i wydania decyzji o środowiskowych uwarunkowaniach</w:t>
      </w:r>
      <w:r w:rsidRPr="00D34A9F">
        <w:rPr>
          <w:rFonts w:ascii="Arial" w:hAnsi="Arial" w:cs="Arial"/>
          <w:i/>
        </w:rPr>
        <w:t xml:space="preserve">. </w:t>
      </w:r>
      <w:r w:rsidRPr="00D34A9F">
        <w:rPr>
          <w:rFonts w:ascii="Arial" w:hAnsi="Arial" w:cs="Arial"/>
          <w:i/>
        </w:rPr>
        <w:br/>
      </w:r>
      <w:r w:rsidRPr="00D34A9F">
        <w:rPr>
          <w:rFonts w:ascii="Arial" w:hAnsi="Arial" w:cs="Arial"/>
        </w:rPr>
        <w:t xml:space="preserve">W wyznaczonym 14 –dniowym terminie nie zostały zgłoszone żadne uwagi i zastrzeżenia.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Na podstawie art. 69 ust. 1 ustawy z dnia 3 października 2008 r. o udostępnieniu informacji o środowisku i jego ochronie, udziale społeczeństwa w ochronie środowiska oraz o ocenach oddziaływania na środowisko</w:t>
      </w:r>
      <w:r w:rsidRPr="00D34A9F">
        <w:rPr>
          <w:rFonts w:ascii="Arial" w:hAnsi="Arial" w:cs="Arial"/>
          <w:i/>
        </w:rPr>
        <w:t xml:space="preserve"> </w:t>
      </w:r>
      <w:r w:rsidRPr="00D34A9F">
        <w:rPr>
          <w:rFonts w:ascii="Arial" w:hAnsi="Arial" w:cs="Arial"/>
        </w:rPr>
        <w:t xml:space="preserve">(Dz. U. z 2018 r., poz. 2081 ze zm.), organ prowadzący postępowanie wystąpił o opinię dotyczącą ustalenia zakresu raportu ooś do Regionalnego Dyrektora Ochrony Środowiska w Bydgoszczy, Państwowego Powiatowego Inspektora Sanitarnego we Włocławku, Państwowego Gospodarstwa Wodnego Wody Polskie – RZGW w Gdańsku oraz do Marszałka Województwa Kujawsko-Pomorskiego w Toruniu.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Pismem z dnia 29.03.2019 r. znak: N.NZ-42-05-35/19 L.dz.: 2117 Państwowy Powiatowy Inspektor Sanitarny we Włocławku wydał opinię, w której ustalił, że zakres raportu ooś powinien być zgodny z art. 66 u.o.u.i.o.ś.</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Pismem z dnia 01.04.2019 r., znak: WOO.4220.185.2019.JO1 Regionalny Dyrektor Ochrony Środowiska w Bydgoszczy wyraził opinię, że zakres raportu o oddziaływaniu przedsięwzięcia na środowisko powinien być zgodny z art. 66 u.o.u.i.o.ś. Ponadto, zgodnie z treścią art. 68 ust. 2 pkt 2b i pkt 2c u.o.u.i.o.ś. organ Regionalnej Dyrekcji wskazał zakres i szczegółowość wymaganych danych pozwalających scharakteryzować przedsięwzięcie, rodzaje oddziaływań oraz elementy środowiska wymagające przeprowadzenia szczegółowej analizy w zakresie: ochrony przyrody, jak również zakres i metody badań wpływu na następujące elementy środowiska w zakresie: oddziaływania na klimat akustyczny, oddziaływania na powietrze atmosferyczne, gospodarki wodno-ściekowej, gospodarki odpadami, ochrony przyrody (dot. przeprowadzenia badań terenowych). Zakres uwzględniający ww. zagadnienia został wpisany w sentencję niniejszego postanowienia.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Pismem z dnia 11.04.2019 r. znak: GD.RZŚ.435.410.2019.WL Regionalny Zarząd Gospodarki Wodnej w Gdańsku wyraził opinię, zakres opracowanego raportu powinien zawierać informacje zawarte w Karcie informacyjnej przedsięwzięcia uszczegółowione o: charakterystykę hydrogeologiczną terenu, podanie sposobu zabezpieczenia środowiska gruntowo-wodnego, w tym także omówienie zagospodarowania terenu. Zagadnienia te zostały wpisane  w sentencję postanowienia. </w:t>
      </w:r>
    </w:p>
    <w:p w:rsidR="00D34A9F" w:rsidRPr="00D34A9F" w:rsidRDefault="00D34A9F" w:rsidP="00D34A9F">
      <w:pPr>
        <w:rPr>
          <w:rFonts w:ascii="Arial" w:hAnsi="Arial" w:cs="Arial"/>
        </w:rPr>
      </w:pPr>
    </w:p>
    <w:p w:rsidR="00D34A9F" w:rsidRPr="00D34A9F" w:rsidRDefault="00D34A9F" w:rsidP="00D34A9F">
      <w:pPr>
        <w:pStyle w:val="NormalnyWeb"/>
        <w:spacing w:line="240" w:lineRule="auto"/>
        <w:jc w:val="left"/>
        <w:rPr>
          <w:rFonts w:ascii="Arial" w:hAnsi="Arial" w:cs="Arial"/>
        </w:rPr>
      </w:pPr>
      <w:r w:rsidRPr="00D34A9F">
        <w:rPr>
          <w:rFonts w:ascii="Arial" w:hAnsi="Arial" w:cs="Arial"/>
        </w:rPr>
        <w:t>Postanowieniem z dnia 15.05.2019 r. znak: ŚG-I-P.720.7.2019 Marszalek Województwa Kujawsko-Pomorskiego w Toruniu wyraził opinię, że dla planowanego zami</w:t>
      </w:r>
      <w:r w:rsidR="00CB43AC">
        <w:rPr>
          <w:rFonts w:ascii="Arial" w:hAnsi="Arial" w:cs="Arial"/>
        </w:rPr>
        <w:t xml:space="preserve">erzenia raport o oddziaływaniu </w:t>
      </w:r>
      <w:r w:rsidRPr="00D34A9F">
        <w:rPr>
          <w:rFonts w:ascii="Arial" w:hAnsi="Arial" w:cs="Arial"/>
        </w:rPr>
        <w:t xml:space="preserve">na środowisko w zakresie określonym w art. 66 ust. </w:t>
      </w:r>
      <w:r w:rsidRPr="00D34A9F">
        <w:rPr>
          <w:rStyle w:val="Pogrubienie"/>
          <w:rFonts w:ascii="Arial" w:hAnsi="Arial" w:cs="Arial"/>
          <w:b w:val="0"/>
        </w:rPr>
        <w:t>1 pkt 1-9, pkt 11, pkt 11a, pkt 12-20, ust. 1b, ust. 2, ust. 2a, ust. 5-7</w:t>
      </w:r>
      <w:r w:rsidRPr="00D34A9F">
        <w:rPr>
          <w:rStyle w:val="Pogrubienie"/>
          <w:rFonts w:ascii="Arial" w:hAnsi="Arial" w:cs="Arial"/>
        </w:rPr>
        <w:t xml:space="preserve"> </w:t>
      </w:r>
      <w:r w:rsidRPr="00D34A9F">
        <w:rPr>
          <w:rFonts w:ascii="Arial" w:hAnsi="Arial" w:cs="Arial"/>
        </w:rPr>
        <w:t>u.o.u.i.o.ś.</w:t>
      </w:r>
    </w:p>
    <w:p w:rsidR="00D34A9F" w:rsidRPr="00D34A9F" w:rsidRDefault="00D34A9F" w:rsidP="00D34A9F">
      <w:pPr>
        <w:rPr>
          <w:rFonts w:ascii="Arial" w:hAnsi="Arial" w:cs="Arial"/>
          <w:b/>
        </w:rPr>
      </w:pPr>
    </w:p>
    <w:p w:rsidR="00D34A9F" w:rsidRPr="00D34A9F" w:rsidRDefault="00D34A9F" w:rsidP="00D34A9F">
      <w:pPr>
        <w:pStyle w:val="NormalnyWeb"/>
        <w:spacing w:line="240" w:lineRule="auto"/>
        <w:jc w:val="left"/>
        <w:rPr>
          <w:rFonts w:ascii="Arial" w:hAnsi="Arial" w:cs="Arial"/>
        </w:rPr>
      </w:pPr>
      <w:r w:rsidRPr="00D34A9F">
        <w:rPr>
          <w:rFonts w:ascii="Arial" w:hAnsi="Arial" w:cs="Arial"/>
        </w:rPr>
        <w:t xml:space="preserve">Biorąc pod uwagę rodzaj, charakter i skalę przedsięwzięcia orzeczono potrzebę przeprowadzenia oceny oddziaływania na środowisko oraz opracowania raportu o jego oddziaływaniu na środowisko. Wykonanie raportu pozwoli na ocenę, czy projektowana instalacja spełnia wymogi prawne i techniczno-technologiczne stawiane tego typu przedsięwzięciom, a oddziaływanie przedsięwzięcia nie wpłynie </w:t>
      </w:r>
      <w:r w:rsidRPr="00D34A9F">
        <w:rPr>
          <w:rFonts w:ascii="Arial" w:hAnsi="Arial" w:cs="Arial"/>
        </w:rPr>
        <w:br/>
        <w:t xml:space="preserve">na pogorszenie jakości środowiska poza terenem inwestycji i warunki użytkowania </w:t>
      </w:r>
      <w:r w:rsidRPr="00D34A9F">
        <w:rPr>
          <w:rFonts w:ascii="Arial" w:hAnsi="Arial" w:cs="Arial"/>
        </w:rPr>
        <w:lastRenderedPageBreak/>
        <w:t>terenów sąsiednich.</w:t>
      </w:r>
    </w:p>
    <w:p w:rsidR="00D34A9F" w:rsidRPr="00D34A9F" w:rsidRDefault="00D34A9F" w:rsidP="00D34A9F">
      <w:pPr>
        <w:pStyle w:val="NormalnyWeb"/>
        <w:spacing w:line="240" w:lineRule="auto"/>
        <w:jc w:val="left"/>
        <w:rPr>
          <w:rFonts w:ascii="Arial" w:hAnsi="Arial" w:cs="Arial"/>
        </w:rPr>
      </w:pPr>
    </w:p>
    <w:p w:rsidR="00D34A9F" w:rsidRPr="00D34A9F" w:rsidRDefault="00D34A9F" w:rsidP="00D34A9F">
      <w:pPr>
        <w:pStyle w:val="NormalnyWeb"/>
        <w:spacing w:line="240" w:lineRule="auto"/>
        <w:jc w:val="left"/>
        <w:rPr>
          <w:rFonts w:ascii="Arial" w:hAnsi="Arial" w:cs="Arial"/>
        </w:rPr>
      </w:pPr>
      <w:r w:rsidRPr="00D34A9F">
        <w:rPr>
          <w:rFonts w:ascii="Arial" w:hAnsi="Arial" w:cs="Arial"/>
        </w:rPr>
        <w:t xml:space="preserve">Uwzględniając wydane opinie organów współdziałających, w dniu 31.05.2019 r. znak: S.6220.21.2019 wydano postanowienie, w którym ustalono zakres raportu o oddziaływaniu przedsięwzięcia na środowisko.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Postanowieniem z dnia 03.06.2019 r. znak: S.6220.21.2019 zawieszono postępowanie w przedmiotowej sprawie, do czasu przedłożenie przez Wnioskodawcę raportu oddziaływania na środowisko.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W dniu 07.01.2021 r. spółka PPPolymers Sp.  z o.o. przedłożyła do tut. organu dokumentację pn. Raport oddziaływania przedmiotowej inwestycji na środowisko oraz jednocześnie spółka wystąpiła o wznowienie niniejszego postępowania.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Wobec powyższego, postanowieniem z dnia 25.01.2021 r. znak: S.6220.21.2019 podjęto z urzędu zawieszone postępowanie w sprawie wydania decyzji o środowiskowych uwarunkowaniach dla przedsięwzięcia pn. „Budowa instalacji do produkcji klejów przemysłowych oraz wodnych dyspersji polimerów </w:t>
      </w:r>
      <w:r w:rsidRPr="00D34A9F">
        <w:rPr>
          <w:rFonts w:ascii="Arial" w:hAnsi="Arial" w:cs="Arial"/>
        </w:rPr>
        <w:br/>
        <w:t>i kopolimerów winylowych oraz akrylowych we Włocławku, przy ul. Zalesie ma działce nr ew. 4/35”.</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Z uwagi na zmiany jakie zaszły od chwili wszczęcia przedmiotowego postępowania w 2019 roku, mianowicie w odniesieniu do jednej ze stron postępowania (śmierć) i brak możliwości ustalenia spadkobiercy, na każdym etapie niniejszego postępowania wydawane jest obwieszczenie, które podawane jest </w:t>
      </w:r>
      <w:r w:rsidRPr="00D34A9F">
        <w:rPr>
          <w:rFonts w:ascii="Arial" w:hAnsi="Arial" w:cs="Arial"/>
        </w:rPr>
        <w:br/>
        <w:t xml:space="preserve">do publicznej wiadomości dla osób, którym przysługuje prawo rzeczowe do nieruchomości (dz. ew. nr 27 obręb 0004 Kawka) znajdującej się w zasięgu oddziaływania planowanego zadania.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Obwieszczeniem z dnia 25.01.2021 r. znak: S.6220.21.2019 zawiadomiono w charakterze strony prowadzonego postępowania osoby, którym przysługuje prawo rzeczowe do nieruchomości (dz. ew. nr 27 obręb 0004 Kawka) o wydanym postanowieniu o podjęciu z urzędu zawieszonego postępowania.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Na podstawie art. 77 ust. 1 ustawy o udostępnieniu informacji o środowisku i jego ochronie, udziale społeczeństwa w ochronie środowiska oraz o ocenach oddziaływania na środowisko, pismem z dnia 26.01.2021 r. znak: S.6220.21.2019 organ prowadzący postępowanie wystąpił o uzgodnienie środowiskowych uwarunkowań do Regionalnego Dyrektora Ochrony Środowiska w Bydgoszczy, Państwowego Powiatowego Inspektora Sanitarnego we Włocławku, Marszałka Województwa Kujawsko-Pomorskiego w Toruniu oraz do Państwowego Gospodarstwa Wodnego Wody Polskie – RZGW w Gdańsku.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Obwieszczeniem z dnia 26.01.2021 r. znak: S.6220.21.2019 zawiadomiono w charakterze strony osoby, którym przysługuje prawo rzeczowe do nieruchomości (dz. ew. nr 27 obręb 0004 Kawka) o wystąpieniu do organów współdziałających przy wydawaniu przedmiotowej decyzji.</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Zgodnie z art. 33 ust. 1 oraz art. 79 ustawy o udostępnianiu informacji o środowisku, udziale społeczeństwa w ochronie środowiska oraz o ocenach oddziaływania na </w:t>
      </w:r>
      <w:r w:rsidRPr="00D34A9F">
        <w:rPr>
          <w:rFonts w:ascii="Arial" w:hAnsi="Arial" w:cs="Arial"/>
        </w:rPr>
        <w:lastRenderedPageBreak/>
        <w:t>środowisko, zapewniono możliwość udziału społeczeństwa w prowadzonym postępowaniu.</w:t>
      </w:r>
      <w:r w:rsidR="00CB43AC">
        <w:rPr>
          <w:rFonts w:ascii="Arial" w:hAnsi="Arial" w:cs="Arial"/>
        </w:rPr>
        <w:t xml:space="preserve"> W ramach tej procedury podano </w:t>
      </w:r>
      <w:r w:rsidRPr="00D34A9F">
        <w:rPr>
          <w:rFonts w:ascii="Arial" w:hAnsi="Arial" w:cs="Arial"/>
        </w:rPr>
        <w:t xml:space="preserve">do publicznej wiadomości informację o przystąpieniu do przeprowadzenia oceny oddziaływania przedsięwzięcia na środowisko, wszczęciu postępowania, przedmiocie decyzji, organie właściwym </w:t>
      </w:r>
      <w:r w:rsidRPr="00D34A9F">
        <w:rPr>
          <w:rFonts w:ascii="Arial" w:hAnsi="Arial" w:cs="Arial"/>
        </w:rPr>
        <w:br/>
        <w:t xml:space="preserve">do wydania decyzji oraz organach właściwych do wydania opinii i dokonania uzgodnienia oraz możliwości składania uwag i wniosków poprzez umieszczenie obwieszczenia na stronie internetowej Urzędu Miasta Włocławek w Biuletynie Informacji Publicznej, na tablicy ogłoszeń w siedzibie organu  oraz </w:t>
      </w:r>
      <w:r w:rsidRPr="00D34A9F">
        <w:rPr>
          <w:rFonts w:ascii="Arial" w:hAnsi="Arial" w:cs="Arial"/>
        </w:rPr>
        <w:br/>
        <w:t xml:space="preserve">w pobliżu miejsca realizacji przedsięwzięcia. Termin składania uwag i wniosków określono na 30 dni, tj. od dnia 27.01.2021r. do dnia 26.02.2021 r. w  wyznaczonym terminie nie wpłynęły żadne uwagi, wnioski czy zastrzeżenia.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Pismem z dnia 26.02.2021 r. znak: N.NZ-42-05-08/21 Ldz. 1304 Państwowy Powiatowy Inspektor Sanitarny we Włocławku zwrócił się do Wnioskodawcy o przedłożenie wyjaśnień in</w:t>
      </w:r>
      <w:r w:rsidR="00CB43AC">
        <w:rPr>
          <w:rFonts w:ascii="Arial" w:hAnsi="Arial" w:cs="Arial"/>
        </w:rPr>
        <w:t xml:space="preserve">formacji zawartych </w:t>
      </w:r>
      <w:r w:rsidRPr="00D34A9F">
        <w:rPr>
          <w:rFonts w:ascii="Arial" w:hAnsi="Arial" w:cs="Arial"/>
        </w:rPr>
        <w:t>w raporcie ooś.</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Pismami z dnia: 03.03.2021 r. znak: znak: WOO.4220.18.2021.HRK, 08.04.2021 r. znak: WOO.4220.18.2021.HRK.2, 06.07.2021 r. znak: WOO.4220.18.2021.HRK.4, 10.08.2021 r. znak: WOO.4220.18.2021.HRK.5, 23.11.2021 r. znak: WOO.4220.18.2021.HRK.7, 24.12.2021 r. znak: WOO.4220.18.2021.HRK.8 Regionalny Dyrektor Ochrony Środowiska w Bydgoszczy kilkukrotnie zawiadomił o przedłożeniu terminu wydania uzgodnienia.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Pismami z dnia: 01.03.2021 r. znak: ŚG-I-P.720.5.2021, 26.04.2021 r. znak: ŚG-I-P.720.5.2021, 28.05.2021 r. znak: ŚG-I-P.720.5.2021 Marszałek Województwa Kujawsko-Pomorskiego w Toruniu również kilkukrotnie zawiadomił o przedłożeniu terminu wydania uzgodnienia.</w:t>
      </w:r>
    </w:p>
    <w:p w:rsidR="00D34A9F" w:rsidRPr="00D34A9F" w:rsidRDefault="00D34A9F" w:rsidP="00D34A9F">
      <w:pPr>
        <w:rPr>
          <w:rFonts w:ascii="Arial" w:hAnsi="Arial" w:cs="Arial"/>
        </w:rPr>
      </w:pPr>
      <w:r w:rsidRPr="00D34A9F">
        <w:rPr>
          <w:rFonts w:ascii="Arial" w:hAnsi="Arial" w:cs="Arial"/>
        </w:rPr>
        <w:br/>
        <w:t xml:space="preserve">Pismem z dnia 08.03.2021 r. znak: GD.RZŚ.435.18.2021.MP.1 Państwowe Gospodarstwo Wodne Wody Polskie RZGW w Gdańsku wezwał Wnioskodawcę o uzupełnienie raportu ooś.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Pismami z dnia: 09.04.2021 r. znak: WOO.4220.18.2021.HRK.3, 01.09.2021 r. znak: WOO.4220.18.2021.HRK.6  Regionalny Dyrektor Ochrony Środowiska w Bydgoszczy kilkukrotnie wzywał do uzupełnienia raportu ooś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Pismem z dnia 16.04.2021 r. znak: N.NZ-42-05-08/20 L.dz.: 2616 Państwowy Powiatowy Inspektor Sanitarny we Włocławku wydał opinię o uzgodnieniu środowiskowych uwarunkowań, określając warunki niezbędne do prawidłowej realizacji zamierzenia. Warunki te zostały wpisane w sentencji niniejszej decyzji.</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Spółka PPPolymers Sp. z o.o. pismami z dnia: 15.04.2021 r.   przedkładał wyjaśnienia/uzupełnienia do raportu ooś. Ponadto Wnioskodawca pismem z dnia 12.05.2021 r. powiadomił zarówno organ prowadzący postępowania jak i organ współdziałający RDGOŚ w Bydgoszczy, że ze względu na obszerność oraz szczegółowy charakter zagadnień do uzupełnień odpo</w:t>
      </w:r>
      <w:r w:rsidR="00CB43AC">
        <w:rPr>
          <w:rFonts w:ascii="Arial" w:hAnsi="Arial" w:cs="Arial"/>
        </w:rPr>
        <w:t xml:space="preserve">wiedź nie może być przedłożona </w:t>
      </w:r>
      <w:r w:rsidRPr="00D34A9F">
        <w:rPr>
          <w:rFonts w:ascii="Arial" w:hAnsi="Arial" w:cs="Arial"/>
        </w:rPr>
        <w:t xml:space="preserve">w ciągu 30 dni i zwrócił się do organu RDOŚ o prolongatę terminu. Pełna dokumentacja została przedłożona w dniu 31.05.2021 r.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lastRenderedPageBreak/>
        <w:t>Postanowieniem z dnia 11.05.2021 r. znak: GD.RZŚ.435.18.2021.MP.1 Państwowe Gospodarstwo Wodne Wody Polskie RZGW w Gdańsku uzgodnił realizację przedsięwzięcia wskazując warunki niezbędne do prawidłowej realizacji zamierzenia. Warunki te zostały wpisane w sentencji niniejszej decyzji.</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Postanowieniem z dnia 21.06.2021 r. znak: ŚG-I-P.720.5.2021 Marszałek Województwa Kujawsko-Pomorskiego w Toruniu pozytywnie zaopiniował ww. przedsięwzięcie.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Postanowieniem z dnia 11.01.2022 r. znak: WOO.4220.18.2021.HRK.9 Regionalny Dyrektor Ochrony Środowiska w Bydgoszczy uzgodnił realizację przedsięwzięcia określając warunki niezbędne do prawidłowej realizacji zamierzenia. Warunki te zostały wpisane w sentencji niniejszej decyzji.</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Mając na uwadze powyższe pozytywne opinie organów uzgadniających, dopełniono procedury określonej w art. 10 ustawy Kodeks postępowania administracyjnego, mianowicie w dniu 13.01.2022 r. znak: S.6220.21.2019 zawiadomiono strony o zakończeniu postępowania.</w:t>
      </w:r>
      <w:r w:rsidRPr="00D34A9F">
        <w:rPr>
          <w:rFonts w:ascii="Arial" w:hAnsi="Arial" w:cs="Arial"/>
          <w:color w:val="000000"/>
        </w:rPr>
        <w:t xml:space="preserve"> </w:t>
      </w:r>
      <w:r w:rsidRPr="00D34A9F">
        <w:rPr>
          <w:rFonts w:ascii="Arial" w:hAnsi="Arial" w:cs="Arial"/>
        </w:rPr>
        <w:t xml:space="preserve">W wyznaczonym 7 –dniowym terminie nie zostały zgłoszone żadne </w:t>
      </w:r>
      <w:r w:rsidRPr="00D34A9F">
        <w:rPr>
          <w:rFonts w:ascii="Arial" w:hAnsi="Arial" w:cs="Arial"/>
          <w:color w:val="000000"/>
        </w:rPr>
        <w:t>zastrzeżenia, co do planowanego przedsięwzięcia.</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Ponadto, obwieszczeniem także z dnia 13.01.2022 r. znak: S.6220.21.2019 zawiadomiono w charakterze strony osoby, którym przysługuje prawo rzeczowe do nieruchomości (dz. ew. nr 27 obręb 0004 Kawka) o zakończeniu postępowania administracyjnego. W wyznaczonym 14-dniowym terminie nie zostały zgłoszone żadne </w:t>
      </w:r>
      <w:r w:rsidRPr="00D34A9F">
        <w:rPr>
          <w:rFonts w:ascii="Arial" w:hAnsi="Arial" w:cs="Arial"/>
          <w:color w:val="000000"/>
        </w:rPr>
        <w:t>zastrzeżenia, co do planowanego przedsięwzięcia.</w:t>
      </w:r>
    </w:p>
    <w:p w:rsidR="00D34A9F" w:rsidRPr="00D34A9F" w:rsidRDefault="00D34A9F" w:rsidP="00D34A9F">
      <w:pPr>
        <w:rPr>
          <w:rFonts w:ascii="Arial" w:hAnsi="Arial" w:cs="Arial"/>
        </w:rPr>
      </w:pP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Raport o oddziaływaniu przedsięwzięcia na środowisko jest dokumentem niezbędnym w przeprowadzeniu, przez właściwy organ administracyjny, postępowania w sprawie oceny oddziaływania planowanego przedsięwzięcia na środowisko na etapie wydania decyzji o środowiskowych uwarunkowaniach.</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Przedsięwzięcie realizowane będzie wewnątrz obszaru Włocławskiej Strefy Rozwoju Gospodarczego – Parku Przemysłowo-Technologicznego, przy ul. Zalesie, na terenie miasta Włocławek, województwo kujawsko-pomorskie. Budowa instalacji planowana jest na działce nr 4/35 obręb 0004 Kawka o powierzchni 3,1167 ha.</w:t>
      </w:r>
    </w:p>
    <w:p w:rsidR="00D34A9F" w:rsidRPr="00D34A9F" w:rsidRDefault="00D34A9F" w:rsidP="00D34A9F">
      <w:pPr>
        <w:rPr>
          <w:rFonts w:ascii="Arial" w:hAnsi="Arial" w:cs="Arial"/>
        </w:rPr>
      </w:pPr>
      <w:r w:rsidRPr="00D34A9F">
        <w:rPr>
          <w:rFonts w:ascii="Arial" w:hAnsi="Arial" w:cs="Arial"/>
        </w:rPr>
        <w:br/>
        <w:t>Dla terenu inwestycji obowiązuje miejscowy plan zagospodarowania przestrzennego miasta Włocławek dla obszaru w rejonie obrębu Kawka, położonego pomiędzy: granicą terenów leśnych, granicą miasta, terenami zieleni wzdłuż rzeki Wisły, działką nr 47, ulicą Krzywa Góra - uchwała Rady Miasta Włocławek nr XXVII/20/09 z dnia 6 kwietnia 2009 r. (Dz. Urz. Woj. Kuj.-Pom. z 2009 r. Nr 58, poz. 1191.). Zgodnie z jego zapisami działka o numerze ewidencyjnym 4/35, na której zostanie posadowiona instalacja</w:t>
      </w:r>
      <w:r w:rsidR="00CB43AC">
        <w:rPr>
          <w:rFonts w:ascii="Arial" w:hAnsi="Arial" w:cs="Arial"/>
        </w:rPr>
        <w:t xml:space="preserve"> </w:t>
      </w:r>
      <w:r w:rsidRPr="00D34A9F">
        <w:rPr>
          <w:rFonts w:ascii="Arial" w:hAnsi="Arial" w:cs="Arial"/>
        </w:rPr>
        <w:t>do produkcji klejów przemysłowych oraz wodnych dyspersji polimerów i kopolimerów winylowych oraz akrylowych, znajduje się na obszarze oznaczonym symbolem 2P, którego podstawowym przeznaczeniem są „tereny przemysłowe” oraz dopuszczalnym przeznaczeniem „zabudowa magazynowa i składy” oraz „usługi”.</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Po weryfikacji zapisów ww. planu stwierdza się, że planowane zamierzenie będzie zgodne z zapisami ww. miejscowego planu zagospodarowania przestrzennego.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W otoczeniu inwestycji usytuowane są budynki mieszkalne, które znajdują się na działkach ewidencyjnych nr 25, 26, 27, 13 oraz 12/2 obręb Kawka. Zgodnie z ustaleniami miejscowego planu zagospodarowania przestrzennego teren ten oznaczony jest symbolem 1P, z przeznaczeniem podstawowym pod „tereny przemysłowe” oraz dopuszczalnym pod „zabudowę magazynową i składy”, „usługi” oraz „adaptację zabudowy zagrodowej”. Na terenie przemysłowym oznaczonym symbolem 4P, tj. na działce</w:t>
      </w:r>
      <w:r w:rsidR="00CB43AC">
        <w:rPr>
          <w:rFonts w:ascii="Arial" w:hAnsi="Arial" w:cs="Arial"/>
        </w:rPr>
        <w:t xml:space="preserve"> </w:t>
      </w:r>
      <w:r w:rsidRPr="00D34A9F">
        <w:rPr>
          <w:rFonts w:ascii="Arial" w:hAnsi="Arial" w:cs="Arial"/>
        </w:rPr>
        <w:t>ewidencyjnej nr 4/34, znajduje się zakład produkcyjny WIKA Polska Sp. z o.o. SGF Sp.k.,</w:t>
      </w:r>
      <w:r w:rsidR="00CB43AC">
        <w:rPr>
          <w:rFonts w:ascii="Arial" w:hAnsi="Arial" w:cs="Arial"/>
        </w:rPr>
        <w:t xml:space="preserve"> </w:t>
      </w:r>
      <w:r w:rsidRPr="00D34A9F">
        <w:rPr>
          <w:rFonts w:ascii="Arial" w:hAnsi="Arial" w:cs="Arial"/>
        </w:rPr>
        <w:t>a na terenie przemysłowym oznaczonym symbolem 5P, na działce ewidencyjnej nr 4/40 planowane jest przedsięwzięcie pn.: „Elektrociepłownia na biogaz o mocy elektrycznej do 1,5 MW w miejscowości Włocławek”.</w:t>
      </w:r>
      <w:r w:rsidRPr="00D34A9F">
        <w:rPr>
          <w:rFonts w:ascii="Arial" w:hAnsi="Arial" w:cs="Arial"/>
        </w:rPr>
        <w:br/>
      </w:r>
    </w:p>
    <w:p w:rsidR="00D34A9F" w:rsidRPr="00D34A9F" w:rsidRDefault="00D34A9F" w:rsidP="00D34A9F">
      <w:pPr>
        <w:rPr>
          <w:rFonts w:ascii="Arial" w:hAnsi="Arial" w:cs="Arial"/>
        </w:rPr>
      </w:pPr>
      <w:r w:rsidRPr="00D34A9F">
        <w:rPr>
          <w:rFonts w:ascii="Arial" w:hAnsi="Arial" w:cs="Arial"/>
        </w:rPr>
        <w:t>Przedsięwzięcie polega na budowie instalacji do produkcji wodnych dyspersji polimerów i kopolimerów winylowych i akrylowych oraz klejów na bazie wodnych dyspersji poli(octanu winylu). Wyroby będą wytwarzane w trzech powiązanych ze sobą układach technologicznych instalacji, zwanych działami produkcyjnymi P-1, P-2 i P-3.</w:t>
      </w:r>
    </w:p>
    <w:p w:rsidR="00D34A9F" w:rsidRPr="00D34A9F" w:rsidRDefault="00D34A9F" w:rsidP="00D34A9F">
      <w:pPr>
        <w:rPr>
          <w:rFonts w:ascii="Arial" w:hAnsi="Arial" w:cs="Arial"/>
        </w:rPr>
      </w:pPr>
      <w:r w:rsidRPr="00D34A9F">
        <w:rPr>
          <w:rFonts w:ascii="Arial" w:hAnsi="Arial" w:cs="Arial"/>
        </w:rPr>
        <w:br/>
        <w:t>Oprócz części produkcyjnej obiektami towarzyszącymi będą:</w:t>
      </w:r>
    </w:p>
    <w:p w:rsidR="00D34A9F" w:rsidRPr="00D34A9F" w:rsidRDefault="00D34A9F" w:rsidP="00D34A9F">
      <w:pPr>
        <w:rPr>
          <w:rFonts w:ascii="Arial" w:hAnsi="Arial" w:cs="Arial"/>
        </w:rPr>
      </w:pPr>
      <w:r w:rsidRPr="00D34A9F">
        <w:rPr>
          <w:rFonts w:ascii="Arial" w:hAnsi="Arial" w:cs="Arial"/>
        </w:rPr>
        <w:br/>
        <w:t xml:space="preserve">1) zbiorniki magazynowe na surowce i wyroby gotowe (31 zbiorników podziemnych i naziemnych </w:t>
      </w:r>
      <w:r w:rsidRPr="00D34A9F">
        <w:rPr>
          <w:rFonts w:ascii="Arial" w:hAnsi="Arial" w:cs="Arial"/>
        </w:rPr>
        <w:br/>
        <w:t>o łącznej pojemności 1640 Mg);</w:t>
      </w:r>
    </w:p>
    <w:p w:rsidR="00D34A9F" w:rsidRPr="00D34A9F" w:rsidRDefault="00D34A9F" w:rsidP="00D34A9F">
      <w:pPr>
        <w:rPr>
          <w:rFonts w:ascii="Arial" w:hAnsi="Arial" w:cs="Arial"/>
        </w:rPr>
      </w:pPr>
      <w:r w:rsidRPr="00D34A9F">
        <w:rPr>
          <w:rFonts w:ascii="Arial" w:hAnsi="Arial" w:cs="Arial"/>
        </w:rPr>
        <w:t>2) kotłownia z trzema kotłami o sumarycznej mocy cieplnej do 3450 kW:</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kocioł c.o. o nominalnej mocy cieplnej do 200 kW,</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kocioł parowy o nominalnej mocy cieplnej do 1950 kW,</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kocioł parowy o nominalnej mocy cieplnej do 1300 kW,</w:t>
      </w:r>
    </w:p>
    <w:p w:rsidR="00D34A9F" w:rsidRPr="00D34A9F" w:rsidRDefault="00D34A9F" w:rsidP="00D34A9F">
      <w:pPr>
        <w:rPr>
          <w:rFonts w:ascii="Arial" w:hAnsi="Arial" w:cs="Arial"/>
        </w:rPr>
      </w:pPr>
      <w:r w:rsidRPr="00D34A9F">
        <w:rPr>
          <w:rFonts w:ascii="Arial" w:hAnsi="Arial" w:cs="Arial"/>
        </w:rPr>
        <w:t>3) podczyszczalnia ścieków o przepustowości 52 000 m</w:t>
      </w:r>
      <w:r w:rsidRPr="00D34A9F">
        <w:rPr>
          <w:rFonts w:ascii="Arial" w:hAnsi="Arial" w:cs="Arial"/>
          <w:vertAlign w:val="superscript"/>
        </w:rPr>
        <w:t>3</w:t>
      </w:r>
      <w:r w:rsidRPr="00D34A9F">
        <w:rPr>
          <w:rFonts w:ascii="Arial" w:hAnsi="Arial" w:cs="Arial"/>
        </w:rPr>
        <w:t xml:space="preserve"> /rok;</w:t>
      </w:r>
    </w:p>
    <w:p w:rsidR="00D34A9F" w:rsidRPr="00D34A9F" w:rsidRDefault="00D34A9F" w:rsidP="00D34A9F">
      <w:pPr>
        <w:rPr>
          <w:rFonts w:ascii="Arial" w:hAnsi="Arial" w:cs="Arial"/>
        </w:rPr>
      </w:pPr>
      <w:r w:rsidRPr="00D34A9F">
        <w:rPr>
          <w:rFonts w:ascii="Arial" w:hAnsi="Arial" w:cs="Arial"/>
        </w:rPr>
        <w:t>4) stacja uzdatniania wody o wydajności 10 m</w:t>
      </w:r>
      <w:r w:rsidRPr="00D34A9F">
        <w:rPr>
          <w:rFonts w:ascii="Arial" w:hAnsi="Arial" w:cs="Arial"/>
          <w:vertAlign w:val="superscript"/>
        </w:rPr>
        <w:t>3</w:t>
      </w:r>
      <w:r w:rsidRPr="00D34A9F">
        <w:rPr>
          <w:rFonts w:ascii="Arial" w:hAnsi="Arial" w:cs="Arial"/>
        </w:rPr>
        <w:t>/h;</w:t>
      </w:r>
    </w:p>
    <w:p w:rsidR="00D34A9F" w:rsidRPr="00D34A9F" w:rsidRDefault="00D34A9F" w:rsidP="00D34A9F">
      <w:pPr>
        <w:rPr>
          <w:rFonts w:ascii="Arial" w:hAnsi="Arial" w:cs="Arial"/>
        </w:rPr>
      </w:pPr>
      <w:r w:rsidRPr="00D34A9F">
        <w:rPr>
          <w:rFonts w:ascii="Arial" w:hAnsi="Arial" w:cs="Arial"/>
        </w:rPr>
        <w:t>5) laboratorium jakościowe;</w:t>
      </w:r>
    </w:p>
    <w:p w:rsidR="00D34A9F" w:rsidRPr="00D34A9F" w:rsidRDefault="00D34A9F" w:rsidP="00D34A9F">
      <w:pPr>
        <w:rPr>
          <w:rFonts w:ascii="Arial" w:hAnsi="Arial" w:cs="Arial"/>
        </w:rPr>
      </w:pPr>
      <w:r w:rsidRPr="00D34A9F">
        <w:rPr>
          <w:rFonts w:ascii="Arial" w:hAnsi="Arial" w:cs="Arial"/>
        </w:rPr>
        <w:t>6) myjnia mobilnych elementów instalacji, np. filtrów wykorzystywanych przy załadunku produktów oraz opakowań wielokrotnego użytku;</w:t>
      </w:r>
    </w:p>
    <w:p w:rsidR="00D34A9F" w:rsidRPr="00D34A9F" w:rsidRDefault="00D34A9F" w:rsidP="00D34A9F">
      <w:pPr>
        <w:rPr>
          <w:rFonts w:ascii="Arial" w:hAnsi="Arial" w:cs="Arial"/>
        </w:rPr>
      </w:pPr>
      <w:r w:rsidRPr="00D34A9F">
        <w:rPr>
          <w:rFonts w:ascii="Arial" w:hAnsi="Arial" w:cs="Arial"/>
        </w:rPr>
        <w:t>7) magazyn części zamiennych;</w:t>
      </w:r>
    </w:p>
    <w:p w:rsidR="00D34A9F" w:rsidRPr="00D34A9F" w:rsidRDefault="00D34A9F" w:rsidP="00D34A9F">
      <w:pPr>
        <w:rPr>
          <w:rFonts w:ascii="Arial" w:hAnsi="Arial" w:cs="Arial"/>
        </w:rPr>
      </w:pPr>
      <w:r w:rsidRPr="00D34A9F">
        <w:rPr>
          <w:rFonts w:ascii="Arial" w:hAnsi="Arial" w:cs="Arial"/>
        </w:rPr>
        <w:t>8) warsztat</w:t>
      </w:r>
    </w:p>
    <w:p w:rsidR="00D34A9F" w:rsidRPr="00D34A9F" w:rsidRDefault="00D34A9F" w:rsidP="00D34A9F">
      <w:pPr>
        <w:rPr>
          <w:rFonts w:ascii="Arial" w:hAnsi="Arial" w:cs="Arial"/>
        </w:rPr>
      </w:pPr>
      <w:r w:rsidRPr="00D34A9F">
        <w:rPr>
          <w:rFonts w:ascii="Arial" w:hAnsi="Arial" w:cs="Arial"/>
        </w:rPr>
        <w:t>9) przepompownia monomerów,</w:t>
      </w:r>
    </w:p>
    <w:p w:rsidR="00D34A9F" w:rsidRPr="00D34A9F" w:rsidRDefault="00D34A9F" w:rsidP="00D34A9F">
      <w:pPr>
        <w:rPr>
          <w:rFonts w:ascii="Arial" w:hAnsi="Arial" w:cs="Arial"/>
        </w:rPr>
      </w:pPr>
      <w:r w:rsidRPr="00D34A9F">
        <w:rPr>
          <w:rFonts w:ascii="Arial" w:hAnsi="Arial" w:cs="Arial"/>
        </w:rPr>
        <w:t>10) wiata na czasowe gromadzenie odpadów,</w:t>
      </w:r>
    </w:p>
    <w:p w:rsidR="00D34A9F" w:rsidRPr="00D34A9F" w:rsidRDefault="00D34A9F" w:rsidP="00D34A9F">
      <w:pPr>
        <w:rPr>
          <w:rFonts w:ascii="Arial" w:hAnsi="Arial" w:cs="Arial"/>
        </w:rPr>
      </w:pPr>
      <w:r w:rsidRPr="00D34A9F">
        <w:rPr>
          <w:rFonts w:ascii="Arial" w:hAnsi="Arial" w:cs="Arial"/>
        </w:rPr>
        <w:t>11) chłodnie wentylatorowe,</w:t>
      </w:r>
    </w:p>
    <w:p w:rsidR="00D34A9F" w:rsidRPr="00D34A9F" w:rsidRDefault="00D34A9F" w:rsidP="00D34A9F">
      <w:pPr>
        <w:rPr>
          <w:rFonts w:ascii="Arial" w:hAnsi="Arial" w:cs="Arial"/>
        </w:rPr>
      </w:pPr>
      <w:r w:rsidRPr="00D34A9F">
        <w:rPr>
          <w:rFonts w:ascii="Arial" w:hAnsi="Arial" w:cs="Arial"/>
        </w:rPr>
        <w:t>12) magazyn surowców oraz wyrobów gotowych,</w:t>
      </w:r>
    </w:p>
    <w:p w:rsidR="00D34A9F" w:rsidRPr="00D34A9F" w:rsidRDefault="00D34A9F" w:rsidP="00D34A9F">
      <w:pPr>
        <w:rPr>
          <w:rFonts w:ascii="Arial" w:hAnsi="Arial" w:cs="Arial"/>
        </w:rPr>
      </w:pPr>
      <w:r w:rsidRPr="00D34A9F">
        <w:rPr>
          <w:rFonts w:ascii="Arial" w:hAnsi="Arial" w:cs="Arial"/>
        </w:rPr>
        <w:t>13) waga samochodowa,</w:t>
      </w:r>
    </w:p>
    <w:p w:rsidR="00D34A9F" w:rsidRPr="00D34A9F" w:rsidRDefault="00D34A9F" w:rsidP="00D34A9F">
      <w:pPr>
        <w:rPr>
          <w:rFonts w:ascii="Arial" w:hAnsi="Arial" w:cs="Arial"/>
        </w:rPr>
      </w:pPr>
      <w:r w:rsidRPr="00D34A9F">
        <w:rPr>
          <w:rFonts w:ascii="Arial" w:hAnsi="Arial" w:cs="Arial"/>
        </w:rPr>
        <w:t>14) agregat,</w:t>
      </w:r>
    </w:p>
    <w:p w:rsidR="00D34A9F" w:rsidRPr="00D34A9F" w:rsidRDefault="00D34A9F" w:rsidP="00D34A9F">
      <w:pPr>
        <w:rPr>
          <w:rFonts w:ascii="Arial" w:hAnsi="Arial" w:cs="Arial"/>
        </w:rPr>
      </w:pPr>
      <w:r w:rsidRPr="00D34A9F">
        <w:rPr>
          <w:rFonts w:ascii="Arial" w:hAnsi="Arial" w:cs="Arial"/>
        </w:rPr>
        <w:t>15) stróżówka.</w:t>
      </w:r>
    </w:p>
    <w:p w:rsidR="00D34A9F" w:rsidRPr="00D34A9F" w:rsidRDefault="00D34A9F" w:rsidP="00D34A9F">
      <w:pPr>
        <w:rPr>
          <w:rFonts w:ascii="Arial" w:hAnsi="Arial" w:cs="Arial"/>
        </w:rPr>
      </w:pPr>
      <w:r w:rsidRPr="00D34A9F">
        <w:rPr>
          <w:rFonts w:ascii="Arial" w:hAnsi="Arial" w:cs="Arial"/>
        </w:rPr>
        <w:br/>
        <w:t>Zakład PPPolymers Sp. z o.o. będzie zatrudniać ok. 30 osób. Produkcja prowadzona będzie całodobowo w systemie pracy w ruchu ciągłym.</w:t>
      </w:r>
    </w:p>
    <w:p w:rsidR="00D34A9F" w:rsidRPr="00D34A9F" w:rsidRDefault="00D34A9F" w:rsidP="00D34A9F">
      <w:pPr>
        <w:rPr>
          <w:rFonts w:ascii="Arial" w:hAnsi="Arial" w:cs="Arial"/>
        </w:rPr>
      </w:pPr>
      <w:r w:rsidRPr="00D34A9F">
        <w:rPr>
          <w:rFonts w:ascii="Arial" w:hAnsi="Arial" w:cs="Arial"/>
        </w:rPr>
        <w:br/>
        <w:t>I. Dział P-1 obejmuje produkcję wodnych dyspersji polimerów i kopolimerów winylowych (zdolność produkcyjna 28 000 Mg/rok) oraz wodnych dyspersji polimerów i kopolimerów akrylowych (zdolność produkcyjna 9 400 Mg/rok).</w:t>
      </w:r>
    </w:p>
    <w:p w:rsidR="00D34A9F" w:rsidRPr="00D34A9F" w:rsidRDefault="00D34A9F" w:rsidP="00D34A9F">
      <w:pPr>
        <w:rPr>
          <w:rFonts w:ascii="Arial" w:hAnsi="Arial" w:cs="Arial"/>
        </w:rPr>
      </w:pPr>
      <w:r w:rsidRPr="00D34A9F">
        <w:rPr>
          <w:rFonts w:ascii="Arial" w:hAnsi="Arial" w:cs="Arial"/>
        </w:rPr>
        <w:lastRenderedPageBreak/>
        <w:br/>
        <w:t>Proces produkcyjny wodnych dyspersji polimerów i kopolimerów octanu winylu prowadzony będzie w układzie zamkniętym metodą okresową. W pierwszym etapie następuje przygotowanie fazy wodnej oraz roztworów inicjatora. Fazę wodną przygotowuje się w mieszalnikach MFW1 ÷ MFW5 o pojemności 4 m</w:t>
      </w:r>
      <w:r w:rsidRPr="00D34A9F">
        <w:rPr>
          <w:rFonts w:ascii="Arial" w:hAnsi="Arial" w:cs="Arial"/>
          <w:vertAlign w:val="superscript"/>
        </w:rPr>
        <w:t>3</w:t>
      </w:r>
      <w:r w:rsidRPr="00D34A9F">
        <w:rPr>
          <w:rFonts w:ascii="Arial" w:hAnsi="Arial" w:cs="Arial"/>
        </w:rPr>
        <w:t>, które wyposażone są w mieszadła i płaszcze grzewczo-chłodzące z automatyczną</w:t>
      </w:r>
      <w:r w:rsidRPr="00D34A9F">
        <w:rPr>
          <w:rFonts w:ascii="Arial" w:hAnsi="Arial" w:cs="Arial"/>
        </w:rPr>
        <w:br/>
        <w:t>regulacją temperatury. Przygotowanie roztworu fazy wodnej polega na rozpuszczeniu w wodzie demineralizowanej w odpowiedniej temperaturze stałych emulgatorów w zadanych ilościach. Roztwór inicjatorów przygotowuje się w mieszalnikach inicjatorów MI1 ÷ MI2 o pojemności 4 m</w:t>
      </w:r>
      <w:r w:rsidRPr="00D34A9F">
        <w:rPr>
          <w:rFonts w:ascii="Arial" w:hAnsi="Arial" w:cs="Arial"/>
          <w:vertAlign w:val="superscript"/>
        </w:rPr>
        <w:t>3</w:t>
      </w:r>
      <w:r w:rsidRPr="00D34A9F">
        <w:rPr>
          <w:rFonts w:ascii="Arial" w:hAnsi="Arial" w:cs="Arial"/>
        </w:rPr>
        <w:t>. Mieszalniki wyposażone są w mieszadła i płaszcze grzewczo-chłodzące z automatyczną regulacją temperatury. Przygotowanie roztworu inicjatora polega na rozpuszczeniu w wodzie demineralizowanej w odpowiedniej temperaturze inicjatorów polimeryzacji w zadanych ilościach. Następnie przygotowany roztwór fazy wodnej przesyłany jest w zadanej temperaturze do reaktorów o pojemności 7 m</w:t>
      </w:r>
      <w:r w:rsidRPr="00D34A9F">
        <w:rPr>
          <w:rFonts w:ascii="Arial" w:hAnsi="Arial" w:cs="Arial"/>
          <w:vertAlign w:val="superscript"/>
        </w:rPr>
        <w:t>3</w:t>
      </w:r>
      <w:r w:rsidRPr="00D34A9F">
        <w:rPr>
          <w:rFonts w:ascii="Arial" w:hAnsi="Arial" w:cs="Arial"/>
        </w:rPr>
        <w:t xml:space="preserve"> , w których prowadzony jest proces polimeryzacji emulsyjnej – R1 ÷ R6. Reaktory wyposażone są w mieszadło, płaszcz grzewczo-</w:t>
      </w:r>
      <w:r w:rsidRPr="00D34A9F">
        <w:rPr>
          <w:rFonts w:ascii="Arial" w:hAnsi="Arial" w:cs="Arial"/>
        </w:rPr>
        <w:br/>
        <w:t>chłodzący z automatyczną regulacją temperatury, właz zamykany pokrywą z umieszczonym w niej wziernikiem do obserwacji wsadu reaktora oraz denny zawór spustowy. Proces polimeryzacji emulsyjnej, reakcji chemicznej, prowadzony jest w zadanej temperaturze dozując odważoną ilość monomerów oraz roztworów inicjatorów. Po zakończonym procesie polimeryzacji emulsyjnej do dyspersji</w:t>
      </w:r>
      <w:r w:rsidRPr="00D34A9F">
        <w:rPr>
          <w:rFonts w:ascii="Arial" w:hAnsi="Arial" w:cs="Arial"/>
        </w:rPr>
        <w:br/>
        <w:t>dodawane są dodatki takie jak plastyfikatory, środki konserwujące, środki odpieniające i inne w zależności od przeznaczenia produktu. Gotowy produkt jest filtrowany i przelewany do zbiorników magazynowych wyrobów gotowych lub bezpośrednio do mniejszych opakowań jednostkowych np. paletopojemników 1000 l. Po zakończonym procesie reaktor jest myty i przygotowywany do kolejnego</w:t>
      </w:r>
      <w:r w:rsidRPr="00D34A9F">
        <w:rPr>
          <w:rFonts w:ascii="Arial" w:hAnsi="Arial" w:cs="Arial"/>
        </w:rPr>
        <w:br/>
        <w:t>procesu. Mycie reaktorów podzielone jest na dwa etapy. W pierwszym etapie rozcieńczona dyspersja z mycia reaktorów jest odzyskiwana i zbierana w zbiorniku, z którego jest przesyłana na dział P-2 i wykorzystywana w procesie produkcji klejów na bazie wodnych dyspersji poli(octanu winylu). W drugim etapie woda z mycia reaktorów trafia do zakładowej podczyszczalni ścieków.</w:t>
      </w:r>
    </w:p>
    <w:p w:rsidR="00D34A9F" w:rsidRPr="00D34A9F" w:rsidRDefault="00D34A9F" w:rsidP="00D34A9F">
      <w:pPr>
        <w:rPr>
          <w:rFonts w:ascii="Arial" w:hAnsi="Arial" w:cs="Arial"/>
        </w:rPr>
      </w:pPr>
      <w:r w:rsidRPr="00D34A9F">
        <w:rPr>
          <w:rFonts w:ascii="Arial" w:hAnsi="Arial" w:cs="Arial"/>
        </w:rPr>
        <w:br/>
        <w:t>Proces produkcyjny wodnych dyspersji polimerów i kopolimerów akrylowych prowadzony jest w układzie zamkniętym metodą okresową. W pierwszym etapienastępuje przygotowanie pre-emulsji oraz roztworów inicjatora. Pre-emulsję przygotowuje się w reaktorach R9 ÷ R10 o pojemności 7 m</w:t>
      </w:r>
      <w:r w:rsidRPr="00D34A9F">
        <w:rPr>
          <w:rFonts w:ascii="Arial" w:hAnsi="Arial" w:cs="Arial"/>
          <w:vertAlign w:val="superscript"/>
        </w:rPr>
        <w:t>3</w:t>
      </w:r>
      <w:r w:rsidRPr="00D34A9F">
        <w:rPr>
          <w:rFonts w:ascii="Arial" w:hAnsi="Arial" w:cs="Arial"/>
        </w:rPr>
        <w:t>. Reaktory wyposażone są w mieszadło, płaszcz grzewczo-chłodzący z automatyczną regulacją temperatury, właz zamykany pokrywą z umieszczonym w niej wziernikiem do obserwacji wsadu reaktora oraz denny zawór spustowy. Przygotowanie pre-emulsji polega na zemulgowaniu w zadanej ilości roztworu emulgatorów nierozpuszczalnych lub trudno rozpuszczalnych monomerów. Roztwór inicjatorów przygotowuje się</w:t>
      </w:r>
      <w:r w:rsidRPr="00D34A9F">
        <w:rPr>
          <w:rFonts w:ascii="Arial" w:hAnsi="Arial" w:cs="Arial"/>
        </w:rPr>
        <w:br/>
        <w:t>w mieszalnikach inicjatorów MI1 ÷ MI2 o pojemności 4 m</w:t>
      </w:r>
      <w:r w:rsidRPr="00D34A9F">
        <w:rPr>
          <w:rFonts w:ascii="Arial" w:hAnsi="Arial" w:cs="Arial"/>
          <w:vertAlign w:val="superscript"/>
        </w:rPr>
        <w:t>3</w:t>
      </w:r>
      <w:r w:rsidRPr="00D34A9F">
        <w:rPr>
          <w:rFonts w:ascii="Arial" w:hAnsi="Arial" w:cs="Arial"/>
        </w:rPr>
        <w:t>. Mieszalniki wyposażone są w mieszadła i płaszcze grzewczo-chłodzące z automatyczną regulacją temperatury.</w:t>
      </w:r>
    </w:p>
    <w:p w:rsidR="00D34A9F" w:rsidRPr="00D34A9F" w:rsidRDefault="00D34A9F" w:rsidP="00D34A9F">
      <w:pPr>
        <w:rPr>
          <w:rFonts w:ascii="Arial" w:hAnsi="Arial" w:cs="Arial"/>
        </w:rPr>
      </w:pP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Przygotowanie roztworu inicjatora polega na rozpuszczeniu w wodzie demineralizowanej w odpowiedniej temperaturze inicjatorów polimeryzacji w zadanych ilościach. Następnie do przygotowanego w reaktorze (R7 ÷ R8) o pojemności 7 m</w:t>
      </w:r>
      <w:r w:rsidRPr="00D34A9F">
        <w:rPr>
          <w:rFonts w:ascii="Arial" w:hAnsi="Arial" w:cs="Arial"/>
          <w:vertAlign w:val="superscript"/>
        </w:rPr>
        <w:t>3</w:t>
      </w:r>
      <w:r w:rsidRPr="00D34A9F">
        <w:rPr>
          <w:rFonts w:ascii="Arial" w:hAnsi="Arial" w:cs="Arial"/>
        </w:rPr>
        <w:t xml:space="preserve"> roztworu emulgatorów dozowana jest pre-emulsja w zadanej</w:t>
      </w:r>
      <w:r w:rsidRPr="00D34A9F">
        <w:rPr>
          <w:rFonts w:ascii="Arial" w:hAnsi="Arial" w:cs="Arial"/>
        </w:rPr>
        <w:br/>
      </w:r>
      <w:r w:rsidRPr="00D34A9F">
        <w:rPr>
          <w:rFonts w:ascii="Arial" w:hAnsi="Arial" w:cs="Arial"/>
        </w:rPr>
        <w:lastRenderedPageBreak/>
        <w:t>temperaturze. Reaktory wyposażone są w mieszadło, płaszcz grzewczo-chłodzący z automatyczną regulacją temperatury, właz zamykany pokrywą z umieszczonym w niej wziernikiem do obserwacji wsadu reaktora oraz denny zawór spustowy. Proces polimeryzacji emulsyjnej (reakcja chemiczna) prowadzony jest w zadanej temperaturze dozując przygotowaną ilość pre-emulsji oraz roztworów inicjatorów.</w:t>
      </w:r>
      <w:r w:rsidRPr="00D34A9F">
        <w:rPr>
          <w:rFonts w:ascii="Arial" w:hAnsi="Arial" w:cs="Arial"/>
        </w:rPr>
        <w:br/>
        <w:t xml:space="preserve">Po zakończonym procesie polimeryzacji emulsyjnej do dyspersji dodawane są dodatki takie jak koalescenty, środki konserwujące, środki odpieniające i inne w zależności od przeznaczenia produktu. Gotowy produkt jest filtrowany i przelewany do zbiorników magazynowych wyrobów gotowych lub bezpośrednio do mniejszych opakowań jednostkowych np. paletopojemników 1000 l. Po zakończonym procesie reaktor jest myty i przygotowywany do kolejnego procesu. Mycie reaktorów podzielone jest na dwa etapy. W pierwszym etapie rozcieńczona dyspersja z mycia reaktorów jest odzyskiwana i dodawana do kolejnej partii gotowego produktu. W drugim etapie woda z mycia reaktorów trafia do zakładowej podczyszczalni ścieków.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II. Dział P-2 to układ technologiczny do produkcji klejów na bazie wodnych dyspersji poli(octanu winylu) (zdolność produkcyjna 40 000 Mg/rok). W Dziale P-2 prowadzona będzie produkcja klejów na bazie wodnych dyspersji poli(octanu winylu). Produkcja klejów na bazie wodnych dyspersji poli(octanuwinylu) prowadzona jest w czterech mieszalnikach M1 ÷ M4 o pojemności 7 m</w:t>
      </w:r>
      <w:r w:rsidRPr="00D34A9F">
        <w:rPr>
          <w:rFonts w:ascii="Arial" w:hAnsi="Arial" w:cs="Arial"/>
          <w:vertAlign w:val="superscript"/>
        </w:rPr>
        <w:t>3</w:t>
      </w:r>
      <w:r w:rsidRPr="00D34A9F">
        <w:rPr>
          <w:rFonts w:ascii="Arial" w:hAnsi="Arial" w:cs="Arial"/>
        </w:rPr>
        <w:t xml:space="preserve"> wyposażonych w mieszadło i płaszcz grzewczo-chłodzącą z automatyczną regulacją temperatury, właz zamykany pokrywą </w:t>
      </w:r>
      <w:r w:rsidRPr="00D34A9F">
        <w:rPr>
          <w:rFonts w:ascii="Arial" w:hAnsi="Arial" w:cs="Arial"/>
        </w:rPr>
        <w:br/>
        <w:t>z umieszczonym w niej wziernikiem do obserwacji wsadu reaktora oraz denny zawór spustowy.</w:t>
      </w:r>
      <w:r w:rsidRPr="00D34A9F">
        <w:rPr>
          <w:rFonts w:ascii="Arial" w:hAnsi="Arial" w:cs="Arial"/>
        </w:rPr>
        <w:br/>
        <w:t>Do wcześniej przygotowanego roztworu emulgatora z wypełnieniem dodawana jest odpowiednia ilość wodnej dyspersji poli(octanu winylu) oraz inne dodatki w zależności od przeznaczenia produktu, produkt mieszany jest w zadanym czasie, a następnie filtrowany i przelewany do zbiorników magazynowych wyrobów gotowych lub bezpośrednio do mniejszych opakowań jednostkowych np. paletopojemników 1000 l. Po zakończonym procesie mieszalniki są myte i przygotowywane do kolejnego procesu. Mycie mieszalników podzielone jest na dwa etapy. W pierwszym etapie rozcieńczony klej na bazie wodnych dyspersji poli(octanu winylu) z mycia mieszalników jest odzyskiwany i zawracany do zbiornika z rozcieńczoną dyspersją z mycia reaktorów, z którego jest ponownie przesyłany na dział P-2 i wykorzystywany w procesie produkcji klejów. W drugim etapie woda z mycia mieszalników trafia do zakładowej podczyszczalni ścieków.</w:t>
      </w:r>
    </w:p>
    <w:p w:rsidR="00D34A9F" w:rsidRPr="00D34A9F" w:rsidRDefault="00D34A9F" w:rsidP="00D34A9F">
      <w:pPr>
        <w:rPr>
          <w:rFonts w:ascii="Arial" w:hAnsi="Arial" w:cs="Arial"/>
        </w:rPr>
      </w:pPr>
      <w:r w:rsidRPr="00D34A9F">
        <w:rPr>
          <w:rFonts w:ascii="Arial" w:hAnsi="Arial" w:cs="Arial"/>
        </w:rPr>
        <w:br/>
        <w:t>III. Dział P-3 obejmuje produkcję wodnych dyspersji polimerów i kopolimerów winylowych (zdolność produkcyjna 38 500 Mg/rok). W Dziale P-3 prowadzona będzie produkcja wodnych dyspersji polimerówi kopolimerów octanu winylu metodą polimeryzacji emulsyjnej pod zwiększonym ciśnieniem. Proces produkcyjny wodnych dyspersji prowadzony jest metodą okresową. W pierwszym etapie następuje przygotowanie fazy wodnej oraz roztworów inicjatora. Fazę wodną przygotowuje się w mieszalniku fazy wodnej MFW6 o pojemności 4 m</w:t>
      </w:r>
      <w:r w:rsidRPr="00D34A9F">
        <w:rPr>
          <w:rFonts w:ascii="Arial" w:hAnsi="Arial" w:cs="Arial"/>
          <w:vertAlign w:val="superscript"/>
        </w:rPr>
        <w:t>3</w:t>
      </w:r>
      <w:r w:rsidRPr="00D34A9F">
        <w:rPr>
          <w:rFonts w:ascii="Arial" w:hAnsi="Arial" w:cs="Arial"/>
        </w:rPr>
        <w:t>. Mieszalnik wyposażony jest w mieszadło i płaszcz grzewczo-chłodzący z automatyczną regulacją temperatury. Przygotowanie roztworu fazy wodnej polega na rozpuszczeniu w wodzie demineralizowanej w odpowiedniej temperaturze stałych emulgatorów w zadanych ilościach. Roztwór inicjatorów przygotowuje się w mieszalnikach inicjatorów MI3 ÷ MI4 o pojemności 4 m</w:t>
      </w:r>
      <w:r w:rsidRPr="00D34A9F">
        <w:rPr>
          <w:rFonts w:ascii="Arial" w:hAnsi="Arial" w:cs="Arial"/>
          <w:vertAlign w:val="superscript"/>
        </w:rPr>
        <w:t>3</w:t>
      </w:r>
      <w:r w:rsidRPr="00D34A9F">
        <w:rPr>
          <w:rFonts w:ascii="Arial" w:hAnsi="Arial" w:cs="Arial"/>
        </w:rPr>
        <w:t>. Mieszalniki wyposażone są w mieszadła i płaszcze grzewczo-chłodzące</w:t>
      </w:r>
      <w:r w:rsidRPr="00D34A9F">
        <w:rPr>
          <w:rFonts w:ascii="Arial" w:hAnsi="Arial" w:cs="Arial"/>
        </w:rPr>
        <w:br/>
      </w:r>
      <w:r w:rsidRPr="00D34A9F">
        <w:rPr>
          <w:rFonts w:ascii="Arial" w:hAnsi="Arial" w:cs="Arial"/>
        </w:rPr>
        <w:lastRenderedPageBreak/>
        <w:t>z automatyczną regulacją temperatury. Przygotowanie roztworu inicjatora polega na rozpuszczeniu w wodzie demineralizowanej w odpowiedniej temperaturze inicjatorów polimeryzacji w zadanych ilościach. Następnie przygotowany roztwór fazy wodnej przesyłany jest w zadanej temperaturze do reaktorów, jednego o pojemności 7 m</w:t>
      </w:r>
      <w:r w:rsidRPr="00D34A9F">
        <w:rPr>
          <w:rFonts w:ascii="Arial" w:hAnsi="Arial" w:cs="Arial"/>
          <w:vertAlign w:val="superscript"/>
        </w:rPr>
        <w:t>3</w:t>
      </w:r>
      <w:r w:rsidRPr="00D34A9F">
        <w:rPr>
          <w:rFonts w:ascii="Arial" w:hAnsi="Arial" w:cs="Arial"/>
        </w:rPr>
        <w:t xml:space="preserve"> – R11 i trzech o pojemności 30 m</w:t>
      </w:r>
      <w:r w:rsidRPr="00D34A9F">
        <w:rPr>
          <w:rFonts w:ascii="Arial" w:hAnsi="Arial" w:cs="Arial"/>
          <w:vertAlign w:val="superscript"/>
        </w:rPr>
        <w:t>3</w:t>
      </w:r>
      <w:r w:rsidRPr="00D34A9F">
        <w:rPr>
          <w:rFonts w:ascii="Arial" w:hAnsi="Arial" w:cs="Arial"/>
        </w:rPr>
        <w:t xml:space="preserve"> – R12 ÷ R14, w których prowadzony jest proces polimeryzacji emulsyjnej. Reaktory wyposażone są w mieszadło, płaszcz grzewczo-chłodzący z automatyczną regulacją temperatury, właz zamykany pokrywą oraz denny zawór spustowy. Proces polimeryzacji emulsyjnej prowadzony jest w zadanej temperaturze pod zwiększonym ciśnieniem</w:t>
      </w:r>
      <w:r w:rsidR="00824668">
        <w:rPr>
          <w:rFonts w:ascii="Arial" w:hAnsi="Arial" w:cs="Arial"/>
        </w:rPr>
        <w:t xml:space="preserve"> </w:t>
      </w:r>
      <w:r w:rsidRPr="00D34A9F">
        <w:rPr>
          <w:rFonts w:ascii="Arial" w:hAnsi="Arial" w:cs="Arial"/>
        </w:rPr>
        <w:t>dozując odważoną ilość monomerów, eten (etylen) oraz roztworów inicjatorów. Przed rozpoczęciem polimeryzacji, po zadozowaniu monomerów, reaktor przedmuchiwany jest dwa razy azotem i raz etylenem. Po zakończonym procesie polimeryzacji emulsyjnej następuje redukcja ciśnienia i odgazowywanie produktu. Eten z procesu redukcji ciśnienia i odgazowywania wpompowywany jest do zbiornika pośredniego w celu jego ponownego wykorzystania w procesie. Do dyspersji dodawane są dodatki takie jak środki konserwujące, środki odpieniające i inne w zależności od przeznaczenia produktu. Gotowy produkt jest filtrowany i przelewany do zbiorników magazynowych wyrobów gotowych lub bezpośrednio</w:t>
      </w:r>
      <w:r w:rsidR="00824668">
        <w:rPr>
          <w:rFonts w:ascii="Arial" w:hAnsi="Arial" w:cs="Arial"/>
        </w:rPr>
        <w:t xml:space="preserve"> </w:t>
      </w:r>
      <w:r w:rsidRPr="00D34A9F">
        <w:rPr>
          <w:rFonts w:ascii="Arial" w:hAnsi="Arial" w:cs="Arial"/>
        </w:rPr>
        <w:t>do mniejszych opakowań jednostkowych np. paletopojemników 1000 l. Po zakończonym procesie reaktor jest myty i przygotowywany do kolejnego procesu. Mycie reaktorów podzielone jest na dwa etapy.</w:t>
      </w:r>
      <w:r w:rsidRPr="00D34A9F">
        <w:rPr>
          <w:rFonts w:ascii="Arial" w:hAnsi="Arial" w:cs="Arial"/>
        </w:rPr>
        <w:br/>
        <w:t>W pierwszym etapie rozcieńczona dyspersja z mycia reaktorów jest odzyskiwana i zbierana w zbiorniku,</w:t>
      </w:r>
      <w:r w:rsidR="00824668">
        <w:rPr>
          <w:rFonts w:ascii="Arial" w:hAnsi="Arial" w:cs="Arial"/>
        </w:rPr>
        <w:t xml:space="preserve"> </w:t>
      </w:r>
      <w:r w:rsidRPr="00D34A9F">
        <w:rPr>
          <w:rFonts w:ascii="Arial" w:hAnsi="Arial" w:cs="Arial"/>
        </w:rPr>
        <w:t>z którego jest przesyłana na dział P-2 i wykorzystywana w procesie produkcji klejów na bazie wodnych dyspersji poli(octanu winylu). W drugim etapie woda z mycia reaktorów trafia do zakładowej podczyszczalni ścieków.</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Wodne dyspersje polimerowe mają szerokie zastosowanie w przemyśle, jak i życiu codziennym, między innymi stanowią one: bazę dyspersyjnych farb, lakierów, klejów, stanowią lub wchodzą w skład apretur włókienniczych (w tym kordów do opon samochodowych), tynków elewacyjnych, zapraw budowlanych, mas formierskich, mas hamulcowych, płuczek wiertniczych, emulsji asfaltowych, testów medycznych, służą do produkcji wyrobów maczanych, wyrobów spienionych, modyfikacji asfaltów, modyfikacji</w:t>
      </w:r>
      <w:r w:rsidR="00824668">
        <w:rPr>
          <w:rFonts w:ascii="Arial" w:hAnsi="Arial" w:cs="Arial"/>
        </w:rPr>
        <w:t xml:space="preserve"> </w:t>
      </w:r>
      <w:r w:rsidRPr="00D34A9F">
        <w:rPr>
          <w:rFonts w:ascii="Arial" w:hAnsi="Arial" w:cs="Arial"/>
        </w:rPr>
        <w:t>mas ceramicznych, modyfikacji betonów. Jednym z ważnych obszarów zastosowania dyspersji polimerowych jest produkcja szerokiego asortymentu wodorozcieńczalnych wyrobów lakierowych, wypraw elewacyjnych, klejów i apretur dla przemysłu włókienniczego.</w:t>
      </w:r>
    </w:p>
    <w:p w:rsidR="00D34A9F" w:rsidRPr="00D34A9F" w:rsidRDefault="00D34A9F" w:rsidP="00D34A9F">
      <w:pPr>
        <w:rPr>
          <w:rFonts w:ascii="Arial" w:hAnsi="Arial" w:cs="Arial"/>
        </w:rPr>
      </w:pPr>
      <w:r w:rsidRPr="00D34A9F">
        <w:rPr>
          <w:rFonts w:ascii="Arial" w:hAnsi="Arial" w:cs="Arial"/>
        </w:rPr>
        <w:br/>
        <w:t xml:space="preserve">Proces produkcyjny planuje się prowadzić według metody polimeryzacji emulsyjnej, często stosowanej w przemyśle do produkcji farb lateksowych, lakierów i klejów. Polimeryzacja emulsyjna to polimeryzacja wolnorodnikowa prowadzona w heterogenicznym układzie reakcyjnym, w wyniku której otrzymywane są submikronowe stałe cząstki polimeru zdyspergowane w środowisku wodnym. Początkowo mieszanina reakcyjna składa się z wody zawierającej zdyspergowane cząsteczki monomeru. Cechą charakterystyczną polimeryzacji emulsyjnej jest stosowanie środków powierzchniowo czynnych, które formułują micele niezbędne do tworzenia cząstek przez zarodkowanie micelarne. Ponadto środki powierzchniowo czynne zapewniają koloidalną stabilność kropelek monomeru, a następnie cząstek polimeru. Polimeryzacja emulsyjna posiada wyraźne zalety w porównaniu do innych metod polimeryzacji wolnorodnikowej jak polimeryzacja w masie, w roztworze czy polimeryzacja w zawiesinie. Te zalety to stosunkowo wysoka szybkość reakcji, </w:t>
      </w:r>
      <w:r w:rsidRPr="00D34A9F">
        <w:rPr>
          <w:rFonts w:ascii="Arial" w:hAnsi="Arial" w:cs="Arial"/>
        </w:rPr>
        <w:lastRenderedPageBreak/>
        <w:t>umiarkowany wzrost lepkości w przypadku polimeryzacji z dużą zawartością substancji stałych i stosunkowo dobra wymiana ciepła.</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Produkcja w poszczególnych działach produkcyjnych odbywać się będzie według następujących założeń:</w:t>
      </w:r>
    </w:p>
    <w:p w:rsidR="00D34A9F" w:rsidRPr="00D34A9F" w:rsidRDefault="00D34A9F" w:rsidP="00D34A9F">
      <w:pPr>
        <w:rPr>
          <w:rFonts w:ascii="Arial" w:hAnsi="Arial" w:cs="Arial"/>
        </w:rPr>
      </w:pPr>
    </w:p>
    <w:p w:rsidR="00D34A9F" w:rsidRPr="00D34A9F" w:rsidRDefault="00D34A9F" w:rsidP="00D34A9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162"/>
        <w:gridCol w:w="2184"/>
        <w:gridCol w:w="1894"/>
      </w:tblGrid>
      <w:tr w:rsidR="00D34A9F" w:rsidRPr="00D34A9F" w:rsidTr="00334E9B">
        <w:tc>
          <w:tcPr>
            <w:tcW w:w="3085"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 xml:space="preserve">Produkt </w:t>
            </w:r>
          </w:p>
        </w:tc>
        <w:tc>
          <w:tcPr>
            <w:tcW w:w="2268"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Ilość reaktorów</w:t>
            </w:r>
          </w:p>
          <w:p w:rsidR="00D34A9F" w:rsidRPr="00D34A9F" w:rsidRDefault="00D34A9F" w:rsidP="00D34A9F">
            <w:pPr>
              <w:rPr>
                <w:rFonts w:ascii="Arial" w:hAnsi="Arial" w:cs="Arial"/>
                <w:b/>
                <w:sz w:val="20"/>
                <w:szCs w:val="20"/>
              </w:rPr>
            </w:pPr>
            <w:r w:rsidRPr="00D34A9F">
              <w:rPr>
                <w:rFonts w:ascii="Arial" w:hAnsi="Arial" w:cs="Arial"/>
                <w:b/>
                <w:sz w:val="20"/>
                <w:szCs w:val="20"/>
              </w:rPr>
              <w:t xml:space="preserve">/mieszalników </w:t>
            </w:r>
          </w:p>
        </w:tc>
        <w:tc>
          <w:tcPr>
            <w:tcW w:w="1843"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 xml:space="preserve">Ilość cykli na dzień dla I reaktora/mieszalnika </w:t>
            </w:r>
          </w:p>
        </w:tc>
        <w:tc>
          <w:tcPr>
            <w:tcW w:w="1984"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 xml:space="preserve">Ilość dni pracujących w roku </w:t>
            </w:r>
          </w:p>
        </w:tc>
      </w:tr>
      <w:tr w:rsidR="00D34A9F" w:rsidRPr="00D34A9F" w:rsidTr="00334E9B">
        <w:tc>
          <w:tcPr>
            <w:tcW w:w="9180" w:type="dxa"/>
            <w:gridSpan w:val="4"/>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Dział P-1</w:t>
            </w:r>
          </w:p>
        </w:tc>
      </w:tr>
      <w:tr w:rsidR="00D34A9F" w:rsidRPr="00D34A9F" w:rsidTr="00334E9B">
        <w:tc>
          <w:tcPr>
            <w:tcW w:w="308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Wodne dyspersje poli(octanu winylu) i jego kopolimerów </w:t>
            </w:r>
          </w:p>
        </w:tc>
        <w:tc>
          <w:tcPr>
            <w:tcW w:w="226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6</w:t>
            </w:r>
          </w:p>
        </w:tc>
        <w:tc>
          <w:tcPr>
            <w:tcW w:w="1843"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2</w:t>
            </w:r>
          </w:p>
        </w:tc>
        <w:tc>
          <w:tcPr>
            <w:tcW w:w="1984"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340</w:t>
            </w:r>
          </w:p>
        </w:tc>
      </w:tr>
      <w:tr w:rsidR="00D34A9F" w:rsidRPr="00D34A9F" w:rsidTr="00334E9B">
        <w:tc>
          <w:tcPr>
            <w:tcW w:w="308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Wodne dyspersje polimerów i kopolimerów akrylowych </w:t>
            </w:r>
          </w:p>
        </w:tc>
        <w:tc>
          <w:tcPr>
            <w:tcW w:w="226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2</w:t>
            </w:r>
          </w:p>
        </w:tc>
        <w:tc>
          <w:tcPr>
            <w:tcW w:w="1843"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2</w:t>
            </w:r>
          </w:p>
        </w:tc>
        <w:tc>
          <w:tcPr>
            <w:tcW w:w="1984"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340</w:t>
            </w:r>
          </w:p>
        </w:tc>
      </w:tr>
      <w:tr w:rsidR="00D34A9F" w:rsidRPr="00D34A9F" w:rsidTr="00334E9B">
        <w:tc>
          <w:tcPr>
            <w:tcW w:w="9180" w:type="dxa"/>
            <w:gridSpan w:val="4"/>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Dział P-2</w:t>
            </w:r>
          </w:p>
        </w:tc>
      </w:tr>
      <w:tr w:rsidR="00D34A9F" w:rsidRPr="00D34A9F" w:rsidTr="00334E9B">
        <w:tc>
          <w:tcPr>
            <w:tcW w:w="308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Kleje na bazie wodnej dyspersji poli(octanu winylu)</w:t>
            </w:r>
          </w:p>
        </w:tc>
        <w:tc>
          <w:tcPr>
            <w:tcW w:w="226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4</w:t>
            </w:r>
          </w:p>
        </w:tc>
        <w:tc>
          <w:tcPr>
            <w:tcW w:w="1843"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4</w:t>
            </w:r>
          </w:p>
        </w:tc>
        <w:tc>
          <w:tcPr>
            <w:tcW w:w="1984"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340</w:t>
            </w:r>
          </w:p>
        </w:tc>
      </w:tr>
      <w:tr w:rsidR="00D34A9F" w:rsidRPr="00D34A9F" w:rsidTr="00334E9B">
        <w:tc>
          <w:tcPr>
            <w:tcW w:w="9180" w:type="dxa"/>
            <w:gridSpan w:val="4"/>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Dział P-3</w:t>
            </w:r>
          </w:p>
        </w:tc>
      </w:tr>
      <w:tr w:rsidR="00D34A9F" w:rsidRPr="00D34A9F" w:rsidTr="00334E9B">
        <w:trPr>
          <w:trHeight w:val="225"/>
        </w:trPr>
        <w:tc>
          <w:tcPr>
            <w:tcW w:w="3085"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Wodne dyspersje poli(octanu winylu) i jego kopolimerów </w:t>
            </w:r>
          </w:p>
        </w:tc>
        <w:tc>
          <w:tcPr>
            <w:tcW w:w="226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w:t>
            </w:r>
          </w:p>
        </w:tc>
        <w:tc>
          <w:tcPr>
            <w:tcW w:w="1843"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2</w:t>
            </w:r>
          </w:p>
        </w:tc>
        <w:tc>
          <w:tcPr>
            <w:tcW w:w="1984"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340</w:t>
            </w:r>
          </w:p>
        </w:tc>
      </w:tr>
      <w:tr w:rsidR="00D34A9F" w:rsidRPr="00D34A9F" w:rsidTr="00334E9B">
        <w:trPr>
          <w:trHeight w:val="240"/>
        </w:trPr>
        <w:tc>
          <w:tcPr>
            <w:tcW w:w="3085" w:type="dxa"/>
            <w:vMerge/>
            <w:shd w:val="clear" w:color="auto" w:fill="auto"/>
          </w:tcPr>
          <w:p w:rsidR="00D34A9F" w:rsidRPr="00D34A9F" w:rsidRDefault="00D34A9F" w:rsidP="00D34A9F">
            <w:pPr>
              <w:rPr>
                <w:rFonts w:ascii="Arial" w:hAnsi="Arial" w:cs="Arial"/>
                <w:sz w:val="20"/>
                <w:szCs w:val="20"/>
              </w:rPr>
            </w:pPr>
          </w:p>
        </w:tc>
        <w:tc>
          <w:tcPr>
            <w:tcW w:w="226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2</w:t>
            </w:r>
          </w:p>
        </w:tc>
        <w:tc>
          <w:tcPr>
            <w:tcW w:w="1843"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2</w:t>
            </w:r>
          </w:p>
        </w:tc>
        <w:tc>
          <w:tcPr>
            <w:tcW w:w="1984"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340</w:t>
            </w:r>
          </w:p>
        </w:tc>
      </w:tr>
    </w:tbl>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W zakładzie przewiduje się stosowanie następujących substancji: </w:t>
      </w:r>
    </w:p>
    <w:p w:rsidR="00D34A9F" w:rsidRPr="00D34A9F" w:rsidRDefault="00D34A9F" w:rsidP="00D34A9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4273"/>
        <w:gridCol w:w="3021"/>
      </w:tblGrid>
      <w:tr w:rsidR="00D34A9F" w:rsidRPr="00D34A9F" w:rsidTr="00334E9B">
        <w:tc>
          <w:tcPr>
            <w:tcW w:w="1809"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Lp</w:t>
            </w:r>
          </w:p>
        </w:tc>
        <w:tc>
          <w:tcPr>
            <w:tcW w:w="4332"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Surowiec</w:t>
            </w:r>
          </w:p>
        </w:tc>
        <w:tc>
          <w:tcPr>
            <w:tcW w:w="3071"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Maksymalne zużycie</w:t>
            </w:r>
          </w:p>
          <w:p w:rsidR="00D34A9F" w:rsidRPr="00D34A9F" w:rsidRDefault="00D34A9F" w:rsidP="00D34A9F">
            <w:pPr>
              <w:rPr>
                <w:rFonts w:ascii="Arial" w:hAnsi="Arial" w:cs="Arial"/>
                <w:b/>
                <w:sz w:val="20"/>
                <w:szCs w:val="20"/>
              </w:rPr>
            </w:pPr>
            <w:r w:rsidRPr="00D34A9F">
              <w:rPr>
                <w:rFonts w:ascii="Arial" w:hAnsi="Arial" w:cs="Arial"/>
                <w:b/>
                <w:sz w:val="20"/>
                <w:szCs w:val="20"/>
              </w:rPr>
              <w:t>[Mg/rok]</w:t>
            </w:r>
          </w:p>
        </w:tc>
      </w:tr>
      <w:tr w:rsidR="00D34A9F" w:rsidRPr="00D34A9F" w:rsidTr="00334E9B">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Woda demineralizowana </w:t>
            </w:r>
          </w:p>
        </w:tc>
        <w:tc>
          <w:tcPr>
            <w:tcW w:w="3071"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63 000</w:t>
            </w:r>
          </w:p>
        </w:tc>
      </w:tr>
      <w:tr w:rsidR="00D34A9F" w:rsidRPr="00D34A9F" w:rsidTr="00334E9B">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2</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Monomery, m.in.:</w:t>
            </w:r>
          </w:p>
          <w:p w:rsidR="00D34A9F" w:rsidRPr="00D34A9F" w:rsidRDefault="00D34A9F" w:rsidP="00D34A9F">
            <w:pPr>
              <w:rPr>
                <w:rFonts w:ascii="Arial" w:hAnsi="Arial" w:cs="Arial"/>
                <w:sz w:val="20"/>
                <w:szCs w:val="20"/>
              </w:rPr>
            </w:pPr>
            <w:r w:rsidRPr="00D34A9F">
              <w:rPr>
                <w:rFonts w:ascii="Arial" w:hAnsi="Arial" w:cs="Arial"/>
                <w:sz w:val="20"/>
                <w:szCs w:val="20"/>
              </w:rPr>
              <w:t>Octan winylu,</w:t>
            </w:r>
          </w:p>
          <w:p w:rsidR="00D34A9F" w:rsidRPr="00D34A9F" w:rsidRDefault="00D34A9F" w:rsidP="00D34A9F">
            <w:pPr>
              <w:rPr>
                <w:rFonts w:ascii="Arial" w:hAnsi="Arial" w:cs="Arial"/>
                <w:sz w:val="20"/>
                <w:szCs w:val="20"/>
              </w:rPr>
            </w:pPr>
            <w:r w:rsidRPr="00D34A9F">
              <w:rPr>
                <w:rFonts w:ascii="Arial" w:hAnsi="Arial" w:cs="Arial"/>
                <w:sz w:val="20"/>
                <w:szCs w:val="20"/>
              </w:rPr>
              <w:t>Maleinian dibutylu,</w:t>
            </w:r>
          </w:p>
          <w:p w:rsidR="00D34A9F" w:rsidRPr="00D34A9F" w:rsidRDefault="00D34A9F" w:rsidP="00D34A9F">
            <w:pPr>
              <w:rPr>
                <w:rFonts w:ascii="Arial" w:hAnsi="Arial" w:cs="Arial"/>
                <w:sz w:val="20"/>
                <w:szCs w:val="20"/>
              </w:rPr>
            </w:pPr>
            <w:r w:rsidRPr="00D34A9F">
              <w:rPr>
                <w:rFonts w:ascii="Arial" w:hAnsi="Arial" w:cs="Arial"/>
                <w:sz w:val="20"/>
                <w:szCs w:val="20"/>
              </w:rPr>
              <w:t>Aktylan butylu,</w:t>
            </w:r>
          </w:p>
          <w:p w:rsidR="00D34A9F" w:rsidRPr="00D34A9F" w:rsidRDefault="00D34A9F" w:rsidP="00D34A9F">
            <w:pPr>
              <w:rPr>
                <w:rFonts w:ascii="Arial" w:hAnsi="Arial" w:cs="Arial"/>
                <w:sz w:val="20"/>
                <w:szCs w:val="20"/>
              </w:rPr>
            </w:pPr>
            <w:r w:rsidRPr="00D34A9F">
              <w:rPr>
                <w:rFonts w:ascii="Arial" w:hAnsi="Arial" w:cs="Arial"/>
                <w:sz w:val="20"/>
                <w:szCs w:val="20"/>
              </w:rPr>
              <w:t xml:space="preserve">Akrylan metylu, </w:t>
            </w:r>
          </w:p>
          <w:p w:rsidR="00D34A9F" w:rsidRPr="00D34A9F" w:rsidRDefault="00D34A9F" w:rsidP="00D34A9F">
            <w:pPr>
              <w:rPr>
                <w:rFonts w:ascii="Arial" w:hAnsi="Arial" w:cs="Arial"/>
                <w:sz w:val="20"/>
                <w:szCs w:val="20"/>
              </w:rPr>
            </w:pPr>
            <w:r w:rsidRPr="00D34A9F">
              <w:rPr>
                <w:rFonts w:ascii="Arial" w:hAnsi="Arial" w:cs="Arial"/>
                <w:sz w:val="20"/>
                <w:szCs w:val="20"/>
              </w:rPr>
              <w:t>Kwas akrylowy,</w:t>
            </w:r>
          </w:p>
          <w:p w:rsidR="00D34A9F" w:rsidRPr="00D34A9F" w:rsidRDefault="00D34A9F" w:rsidP="00D34A9F">
            <w:pPr>
              <w:rPr>
                <w:rFonts w:ascii="Arial" w:hAnsi="Arial" w:cs="Arial"/>
                <w:sz w:val="20"/>
                <w:szCs w:val="20"/>
              </w:rPr>
            </w:pPr>
            <w:r w:rsidRPr="00D34A9F">
              <w:rPr>
                <w:rFonts w:ascii="Arial" w:hAnsi="Arial" w:cs="Arial"/>
                <w:sz w:val="20"/>
                <w:szCs w:val="20"/>
              </w:rPr>
              <w:t>Metakrylan metylu,</w:t>
            </w:r>
          </w:p>
          <w:p w:rsidR="00D34A9F" w:rsidRPr="00D34A9F" w:rsidRDefault="00D34A9F" w:rsidP="00D34A9F">
            <w:pPr>
              <w:rPr>
                <w:rFonts w:ascii="Arial" w:hAnsi="Arial" w:cs="Arial"/>
                <w:sz w:val="20"/>
                <w:szCs w:val="20"/>
              </w:rPr>
            </w:pPr>
            <w:r w:rsidRPr="00D34A9F">
              <w:rPr>
                <w:rFonts w:ascii="Arial" w:hAnsi="Arial" w:cs="Arial"/>
                <w:sz w:val="20"/>
                <w:szCs w:val="20"/>
              </w:rPr>
              <w:t>Styren,</w:t>
            </w:r>
          </w:p>
          <w:p w:rsidR="00D34A9F" w:rsidRPr="00D34A9F" w:rsidRDefault="00D34A9F" w:rsidP="00D34A9F">
            <w:pPr>
              <w:rPr>
                <w:rFonts w:ascii="Arial" w:hAnsi="Arial" w:cs="Arial"/>
                <w:sz w:val="20"/>
                <w:szCs w:val="20"/>
              </w:rPr>
            </w:pPr>
            <w:r w:rsidRPr="00D34A9F">
              <w:rPr>
                <w:rFonts w:ascii="Arial" w:hAnsi="Arial" w:cs="Arial"/>
                <w:sz w:val="20"/>
                <w:szCs w:val="20"/>
              </w:rPr>
              <w:t>Etan (etylen)</w:t>
            </w:r>
          </w:p>
        </w:tc>
        <w:tc>
          <w:tcPr>
            <w:tcW w:w="3071" w:type="dxa"/>
            <w:shd w:val="clear" w:color="auto" w:fill="auto"/>
          </w:tcPr>
          <w:p w:rsidR="00D34A9F" w:rsidRPr="00D34A9F" w:rsidRDefault="00D34A9F" w:rsidP="00D34A9F">
            <w:pPr>
              <w:rPr>
                <w:rFonts w:ascii="Arial" w:hAnsi="Arial" w:cs="Arial"/>
                <w:sz w:val="20"/>
                <w:szCs w:val="20"/>
              </w:rPr>
            </w:pPr>
          </w:p>
          <w:p w:rsidR="00D34A9F" w:rsidRPr="00D34A9F" w:rsidRDefault="00D34A9F" w:rsidP="00D34A9F">
            <w:pPr>
              <w:rPr>
                <w:rFonts w:ascii="Arial" w:hAnsi="Arial" w:cs="Arial"/>
                <w:sz w:val="20"/>
                <w:szCs w:val="20"/>
              </w:rPr>
            </w:pPr>
          </w:p>
          <w:p w:rsidR="00D34A9F" w:rsidRPr="00D34A9F" w:rsidRDefault="00D34A9F" w:rsidP="00D34A9F">
            <w:pPr>
              <w:rPr>
                <w:rFonts w:ascii="Arial" w:hAnsi="Arial" w:cs="Arial"/>
                <w:sz w:val="20"/>
                <w:szCs w:val="20"/>
              </w:rPr>
            </w:pPr>
          </w:p>
          <w:p w:rsidR="00D34A9F" w:rsidRPr="00D34A9F" w:rsidRDefault="00D34A9F" w:rsidP="00D34A9F">
            <w:pPr>
              <w:rPr>
                <w:rFonts w:ascii="Arial" w:hAnsi="Arial" w:cs="Arial"/>
                <w:sz w:val="20"/>
                <w:szCs w:val="20"/>
              </w:rPr>
            </w:pPr>
          </w:p>
          <w:p w:rsidR="00D34A9F" w:rsidRPr="00D34A9F" w:rsidRDefault="00D34A9F" w:rsidP="00D34A9F">
            <w:pPr>
              <w:rPr>
                <w:rFonts w:ascii="Arial" w:hAnsi="Arial" w:cs="Arial"/>
                <w:sz w:val="20"/>
                <w:szCs w:val="20"/>
              </w:rPr>
            </w:pPr>
            <w:r w:rsidRPr="00D34A9F">
              <w:rPr>
                <w:rFonts w:ascii="Arial" w:hAnsi="Arial" w:cs="Arial"/>
                <w:sz w:val="20"/>
                <w:szCs w:val="20"/>
              </w:rPr>
              <w:t>58 500</w:t>
            </w:r>
          </w:p>
        </w:tc>
      </w:tr>
      <w:tr w:rsidR="00D34A9F" w:rsidRPr="00D34A9F" w:rsidTr="00334E9B">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3</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Wypełniacze, np.:</w:t>
            </w:r>
          </w:p>
          <w:p w:rsidR="00D34A9F" w:rsidRPr="00D34A9F" w:rsidRDefault="00D34A9F" w:rsidP="00D34A9F">
            <w:pPr>
              <w:rPr>
                <w:rFonts w:ascii="Arial" w:hAnsi="Arial" w:cs="Arial"/>
                <w:sz w:val="20"/>
                <w:szCs w:val="20"/>
              </w:rPr>
            </w:pPr>
            <w:r w:rsidRPr="00D34A9F">
              <w:rPr>
                <w:rFonts w:ascii="Arial" w:hAnsi="Arial" w:cs="Arial"/>
                <w:sz w:val="20"/>
                <w:szCs w:val="20"/>
              </w:rPr>
              <w:t>Węglan wapnia, kaolin</w:t>
            </w:r>
          </w:p>
        </w:tc>
        <w:tc>
          <w:tcPr>
            <w:tcW w:w="3071"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12 500</w:t>
            </w:r>
          </w:p>
        </w:tc>
      </w:tr>
      <w:tr w:rsidR="00D34A9F" w:rsidRPr="00D34A9F" w:rsidTr="00334E9B">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4</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Emulgatory, m.in.:</w:t>
            </w:r>
          </w:p>
          <w:p w:rsidR="00D34A9F" w:rsidRPr="00D34A9F" w:rsidRDefault="00D34A9F" w:rsidP="00D34A9F">
            <w:pPr>
              <w:rPr>
                <w:rFonts w:ascii="Arial" w:hAnsi="Arial" w:cs="Arial"/>
                <w:sz w:val="20"/>
                <w:szCs w:val="20"/>
              </w:rPr>
            </w:pPr>
            <w:r w:rsidRPr="00D34A9F">
              <w:rPr>
                <w:rFonts w:ascii="Arial" w:hAnsi="Arial" w:cs="Arial"/>
                <w:sz w:val="20"/>
                <w:szCs w:val="20"/>
              </w:rPr>
              <w:t>Alkohol poliwinylowy,</w:t>
            </w:r>
          </w:p>
          <w:p w:rsidR="00D34A9F" w:rsidRPr="00D34A9F" w:rsidRDefault="00D34A9F" w:rsidP="00D34A9F">
            <w:pPr>
              <w:rPr>
                <w:rFonts w:ascii="Arial" w:hAnsi="Arial" w:cs="Arial"/>
                <w:sz w:val="20"/>
                <w:szCs w:val="20"/>
              </w:rPr>
            </w:pPr>
            <w:r w:rsidRPr="00D34A9F">
              <w:rPr>
                <w:rFonts w:ascii="Arial" w:hAnsi="Arial" w:cs="Arial"/>
                <w:sz w:val="20"/>
                <w:szCs w:val="20"/>
              </w:rPr>
              <w:t>Alkohole etoksylowane,</w:t>
            </w:r>
          </w:p>
          <w:p w:rsidR="00D34A9F" w:rsidRPr="00D34A9F" w:rsidRDefault="00D34A9F" w:rsidP="00D34A9F">
            <w:pPr>
              <w:rPr>
                <w:rFonts w:ascii="Arial" w:hAnsi="Arial" w:cs="Arial"/>
                <w:sz w:val="20"/>
                <w:szCs w:val="20"/>
              </w:rPr>
            </w:pPr>
            <w:r w:rsidRPr="00D34A9F">
              <w:rPr>
                <w:rFonts w:ascii="Arial" w:hAnsi="Arial" w:cs="Arial"/>
                <w:sz w:val="20"/>
                <w:szCs w:val="20"/>
              </w:rPr>
              <w:t>Hydroksyetyyloceluloza,</w:t>
            </w:r>
          </w:p>
          <w:p w:rsidR="00D34A9F" w:rsidRPr="00D34A9F" w:rsidRDefault="00D34A9F" w:rsidP="00D34A9F">
            <w:pPr>
              <w:rPr>
                <w:rFonts w:ascii="Arial" w:hAnsi="Arial" w:cs="Arial"/>
                <w:sz w:val="20"/>
                <w:szCs w:val="20"/>
              </w:rPr>
            </w:pPr>
            <w:r w:rsidRPr="00D34A9F">
              <w:rPr>
                <w:rFonts w:ascii="Arial" w:hAnsi="Arial" w:cs="Arial"/>
                <w:sz w:val="20"/>
                <w:szCs w:val="20"/>
              </w:rPr>
              <w:t>inne</w:t>
            </w:r>
          </w:p>
        </w:tc>
        <w:tc>
          <w:tcPr>
            <w:tcW w:w="3071"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8 800</w:t>
            </w:r>
          </w:p>
        </w:tc>
      </w:tr>
      <w:tr w:rsidR="00D34A9F" w:rsidRPr="00D34A9F" w:rsidTr="00334E9B">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5</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Plastyfikatory, m.in.:</w:t>
            </w:r>
          </w:p>
          <w:p w:rsidR="00D34A9F" w:rsidRPr="00D34A9F" w:rsidRDefault="00D34A9F" w:rsidP="00D34A9F">
            <w:pPr>
              <w:rPr>
                <w:rFonts w:ascii="Arial" w:hAnsi="Arial" w:cs="Arial"/>
                <w:sz w:val="20"/>
                <w:szCs w:val="20"/>
              </w:rPr>
            </w:pPr>
            <w:r w:rsidRPr="00D34A9F">
              <w:rPr>
                <w:rFonts w:ascii="Arial" w:hAnsi="Arial" w:cs="Arial"/>
                <w:sz w:val="20"/>
                <w:szCs w:val="20"/>
              </w:rPr>
              <w:t>Trioctan gliceryny, dibenzoesany</w:t>
            </w:r>
          </w:p>
        </w:tc>
        <w:tc>
          <w:tcPr>
            <w:tcW w:w="3071"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2 000</w:t>
            </w:r>
          </w:p>
        </w:tc>
      </w:tr>
      <w:tr w:rsidR="00D34A9F" w:rsidRPr="00D34A9F" w:rsidTr="00334E9B">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6</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Koalescenty, np.:</w:t>
            </w:r>
          </w:p>
          <w:p w:rsidR="00D34A9F" w:rsidRPr="00D34A9F" w:rsidRDefault="00D34A9F" w:rsidP="00D34A9F">
            <w:pPr>
              <w:rPr>
                <w:rFonts w:ascii="Arial" w:hAnsi="Arial" w:cs="Arial"/>
                <w:sz w:val="20"/>
                <w:szCs w:val="20"/>
              </w:rPr>
            </w:pPr>
            <w:r w:rsidRPr="00D34A9F">
              <w:rPr>
                <w:rFonts w:ascii="Arial" w:hAnsi="Arial" w:cs="Arial"/>
                <w:sz w:val="20"/>
                <w:szCs w:val="20"/>
              </w:rPr>
              <w:t>Etern n-butylowy glikolu dipropylenowego,</w:t>
            </w:r>
          </w:p>
          <w:p w:rsidR="00D34A9F" w:rsidRPr="00D34A9F" w:rsidRDefault="00D34A9F" w:rsidP="00D34A9F">
            <w:pPr>
              <w:rPr>
                <w:rFonts w:ascii="Arial" w:hAnsi="Arial" w:cs="Arial"/>
                <w:sz w:val="20"/>
                <w:szCs w:val="20"/>
              </w:rPr>
            </w:pPr>
            <w:r w:rsidRPr="00D34A9F">
              <w:rPr>
                <w:rFonts w:ascii="Arial" w:hAnsi="Arial" w:cs="Arial"/>
                <w:sz w:val="20"/>
                <w:szCs w:val="20"/>
              </w:rPr>
              <w:t xml:space="preserve">Octan butyldiglikolu, węglan propylenu </w:t>
            </w:r>
          </w:p>
        </w:tc>
        <w:tc>
          <w:tcPr>
            <w:tcW w:w="3071"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200</w:t>
            </w:r>
          </w:p>
        </w:tc>
      </w:tr>
      <w:tr w:rsidR="00D34A9F" w:rsidRPr="00D34A9F" w:rsidTr="00334E9B">
        <w:trPr>
          <w:trHeight w:val="255"/>
        </w:trPr>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7</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Środki odpieniające </w:t>
            </w:r>
          </w:p>
        </w:tc>
        <w:tc>
          <w:tcPr>
            <w:tcW w:w="3071"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140</w:t>
            </w:r>
          </w:p>
        </w:tc>
      </w:tr>
      <w:tr w:rsidR="00D34A9F" w:rsidRPr="00D34A9F" w:rsidTr="00334E9B">
        <w:trPr>
          <w:trHeight w:val="105"/>
        </w:trPr>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8</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Środki konserwujące, np.:</w:t>
            </w:r>
          </w:p>
          <w:p w:rsidR="00D34A9F" w:rsidRPr="00D34A9F" w:rsidRDefault="00D34A9F" w:rsidP="00D34A9F">
            <w:pPr>
              <w:rPr>
                <w:rFonts w:ascii="Arial" w:hAnsi="Arial" w:cs="Arial"/>
                <w:sz w:val="20"/>
                <w:szCs w:val="20"/>
              </w:rPr>
            </w:pPr>
            <w:r w:rsidRPr="00D34A9F">
              <w:rPr>
                <w:rFonts w:ascii="Arial" w:hAnsi="Arial" w:cs="Arial"/>
                <w:sz w:val="20"/>
                <w:szCs w:val="20"/>
              </w:rPr>
              <w:t>MIT/BIT, BIT/ZnP, inne</w:t>
            </w:r>
          </w:p>
        </w:tc>
        <w:tc>
          <w:tcPr>
            <w:tcW w:w="3071"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155</w:t>
            </w:r>
          </w:p>
        </w:tc>
      </w:tr>
      <w:tr w:rsidR="00D34A9F" w:rsidRPr="00D34A9F" w:rsidTr="00334E9B">
        <w:trPr>
          <w:trHeight w:val="105"/>
        </w:trPr>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9</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Środki zwilżające </w:t>
            </w:r>
          </w:p>
        </w:tc>
        <w:tc>
          <w:tcPr>
            <w:tcW w:w="3071"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100</w:t>
            </w:r>
          </w:p>
        </w:tc>
      </w:tr>
      <w:tr w:rsidR="00D34A9F" w:rsidRPr="00D34A9F" w:rsidTr="00334E9B">
        <w:trPr>
          <w:trHeight w:val="120"/>
        </w:trPr>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10</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Bufory pH, np.:</w:t>
            </w:r>
          </w:p>
          <w:p w:rsidR="00D34A9F" w:rsidRPr="00D34A9F" w:rsidRDefault="00D34A9F" w:rsidP="00D34A9F">
            <w:pPr>
              <w:rPr>
                <w:rFonts w:ascii="Arial" w:hAnsi="Arial" w:cs="Arial"/>
                <w:sz w:val="20"/>
                <w:szCs w:val="20"/>
              </w:rPr>
            </w:pPr>
            <w:r w:rsidRPr="00D34A9F">
              <w:rPr>
                <w:rFonts w:ascii="Arial" w:hAnsi="Arial" w:cs="Arial"/>
                <w:sz w:val="20"/>
                <w:szCs w:val="20"/>
              </w:rPr>
              <w:t xml:space="preserve">Octan sodu, wodorowęglan sodu, kwas siarkowy, kwas fosforowy, inne </w:t>
            </w:r>
          </w:p>
        </w:tc>
        <w:tc>
          <w:tcPr>
            <w:tcW w:w="3071"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150</w:t>
            </w:r>
          </w:p>
        </w:tc>
      </w:tr>
      <w:tr w:rsidR="00D34A9F" w:rsidRPr="00D34A9F" w:rsidTr="00334E9B">
        <w:trPr>
          <w:trHeight w:val="94"/>
        </w:trPr>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11</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Inicjatory, np.:</w:t>
            </w:r>
          </w:p>
          <w:p w:rsidR="00D34A9F" w:rsidRPr="00D34A9F" w:rsidRDefault="00D34A9F" w:rsidP="00D34A9F">
            <w:pPr>
              <w:rPr>
                <w:rFonts w:ascii="Arial" w:hAnsi="Arial" w:cs="Arial"/>
                <w:sz w:val="20"/>
                <w:szCs w:val="20"/>
              </w:rPr>
            </w:pPr>
            <w:r w:rsidRPr="00D34A9F">
              <w:rPr>
                <w:rFonts w:ascii="Arial" w:hAnsi="Arial" w:cs="Arial"/>
                <w:sz w:val="20"/>
                <w:szCs w:val="20"/>
              </w:rPr>
              <w:lastRenderedPageBreak/>
              <w:t>Nadtlenek wodoru, nadsiarczan potasu, nadsiarczan sodu, kwas winowy</w:t>
            </w:r>
          </w:p>
        </w:tc>
        <w:tc>
          <w:tcPr>
            <w:tcW w:w="3071"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lastRenderedPageBreak/>
              <w:t>160</w:t>
            </w:r>
          </w:p>
        </w:tc>
      </w:tr>
      <w:tr w:rsidR="00D34A9F" w:rsidRPr="00D34A9F" w:rsidTr="00334E9B">
        <w:trPr>
          <w:trHeight w:val="120"/>
        </w:trPr>
        <w:tc>
          <w:tcPr>
            <w:tcW w:w="1809"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12</w:t>
            </w:r>
          </w:p>
        </w:tc>
        <w:tc>
          <w:tcPr>
            <w:tcW w:w="4332"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Inne dodatki do klejów, np.: azotan glinu, chlorek glinu, ombrelub</w:t>
            </w:r>
          </w:p>
        </w:tc>
        <w:tc>
          <w:tcPr>
            <w:tcW w:w="3071"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200</w:t>
            </w:r>
          </w:p>
        </w:tc>
      </w:tr>
    </w:tbl>
    <w:p w:rsidR="00D34A9F" w:rsidRPr="00D34A9F" w:rsidRDefault="00D34A9F" w:rsidP="00D34A9F">
      <w:pPr>
        <w:rPr>
          <w:rFonts w:ascii="Arial" w:hAnsi="Arial" w:cs="Arial"/>
          <w:color w:val="FF0000"/>
        </w:rPr>
      </w:pPr>
    </w:p>
    <w:p w:rsidR="00D34A9F" w:rsidRPr="00D34A9F" w:rsidRDefault="00D34A9F" w:rsidP="00D34A9F">
      <w:pPr>
        <w:tabs>
          <w:tab w:val="left" w:pos="1695"/>
        </w:tabs>
        <w:rPr>
          <w:rFonts w:ascii="Arial" w:hAnsi="Arial" w:cs="Arial"/>
          <w:color w:val="FF0000"/>
        </w:rPr>
      </w:pPr>
    </w:p>
    <w:p w:rsidR="00D34A9F" w:rsidRPr="00D34A9F" w:rsidRDefault="00D34A9F" w:rsidP="00D34A9F">
      <w:pPr>
        <w:tabs>
          <w:tab w:val="left" w:pos="1695"/>
        </w:tabs>
        <w:rPr>
          <w:rFonts w:ascii="Arial" w:hAnsi="Arial" w:cs="Arial"/>
        </w:rPr>
      </w:pPr>
      <w:r w:rsidRPr="00D34A9F">
        <w:rPr>
          <w:rFonts w:ascii="Arial" w:hAnsi="Arial" w:cs="Arial"/>
        </w:rPr>
        <w:t>Na obszarze projektowanego zadania nie występują obszary: wodno-błotne, inne obszary o płytkim zaleganiu wód podziemnych, w tym siedliska łęgowe oraz ujścia rzek, obszary wybrzeży i środowisko morskie, obszary górskie lub leśne; obszary objęte ochroną, w tym strefy ochronne ujęć wód i obszary ochronne zbiorników wód śródlądowych; obszary wymagające specjalnej ochrony ze względu na występowanie gatunków roślin, grzybów i zwierząt lub ich siedlisk lub siedlisk przyrodniczych objętych ochroną, w tym obszary Natura 2000, oraz pozostałe formy ochrony przyrody, obszary o krajobrazie mającym znaczenie historyczne, kulturowe lub archeologiczne, przylegające do jezior, jak również</w:t>
      </w:r>
      <w:r w:rsidR="00B74159">
        <w:rPr>
          <w:rFonts w:ascii="Arial" w:hAnsi="Arial" w:cs="Arial"/>
        </w:rPr>
        <w:t xml:space="preserve"> </w:t>
      </w:r>
      <w:r w:rsidRPr="00D34A9F">
        <w:rPr>
          <w:rFonts w:ascii="Arial" w:hAnsi="Arial" w:cs="Arial"/>
        </w:rPr>
        <w:t>obszary ochrony uzdrowiskowej.</w:t>
      </w:r>
    </w:p>
    <w:p w:rsidR="00D34A9F" w:rsidRPr="00D34A9F" w:rsidRDefault="00D34A9F" w:rsidP="00D34A9F">
      <w:pPr>
        <w:tabs>
          <w:tab w:val="left" w:pos="1695"/>
        </w:tabs>
        <w:rPr>
          <w:rFonts w:ascii="Arial" w:hAnsi="Arial" w:cs="Arial"/>
        </w:rPr>
      </w:pPr>
      <w:r w:rsidRPr="00D34A9F">
        <w:rPr>
          <w:rFonts w:ascii="Arial" w:hAnsi="Arial" w:cs="Arial"/>
        </w:rPr>
        <w:br/>
        <w:t>Zamierzenie jest usytuowane w przemysłowej części miasta Włocławek o niskiej gęstości zaludnienia.</w:t>
      </w:r>
      <w:r w:rsidRPr="00D34A9F">
        <w:rPr>
          <w:rFonts w:ascii="Arial" w:hAnsi="Arial" w:cs="Arial"/>
        </w:rPr>
        <w:br/>
        <w:t>Teren realizacji przedsięwzięcia znajduje się poza: granicami głównych zbiorników wód podziemnych, obszarami szczególnego zagrożenia powodzią, a także poza strefami ochronnymi ujęć wód.</w:t>
      </w:r>
    </w:p>
    <w:p w:rsidR="00D34A9F" w:rsidRPr="00D34A9F" w:rsidRDefault="00D34A9F" w:rsidP="00D34A9F">
      <w:pPr>
        <w:tabs>
          <w:tab w:val="left" w:pos="1695"/>
        </w:tabs>
        <w:rPr>
          <w:rFonts w:ascii="Arial" w:hAnsi="Arial" w:cs="Arial"/>
        </w:rPr>
      </w:pPr>
      <w:r w:rsidRPr="00D34A9F">
        <w:rPr>
          <w:rFonts w:ascii="Arial" w:hAnsi="Arial" w:cs="Arial"/>
        </w:rPr>
        <w:br/>
        <w:t xml:space="preserve">Przedmiotowe zamierzenie zlokalizowane zostanie w obszarze dorzecza Wisły, zgodnie z rozporządzeniem Rady Ministrów z dnia 18 października 2016 r. w sprawie Planu gospodarowania wodami na obszarze dorzecza Wisły (Dz. U. z 2016 r., poz. 1911 j.t.). </w:t>
      </w:r>
    </w:p>
    <w:p w:rsidR="00D34A9F" w:rsidRPr="00D34A9F" w:rsidRDefault="00D34A9F" w:rsidP="00D34A9F">
      <w:pPr>
        <w:tabs>
          <w:tab w:val="left" w:pos="1695"/>
        </w:tabs>
        <w:rPr>
          <w:rFonts w:ascii="Arial" w:hAnsi="Arial" w:cs="Arial"/>
          <w:color w:val="FF0000"/>
        </w:rPr>
      </w:pPr>
    </w:p>
    <w:p w:rsidR="00D34A9F" w:rsidRPr="00D34A9F" w:rsidRDefault="00D34A9F" w:rsidP="00D34A9F">
      <w:pPr>
        <w:rPr>
          <w:rFonts w:ascii="Arial" w:hAnsi="Arial" w:cs="Arial"/>
        </w:rPr>
      </w:pPr>
      <w:r w:rsidRPr="00D34A9F">
        <w:rPr>
          <w:rFonts w:ascii="Arial" w:hAnsi="Arial" w:cs="Arial"/>
        </w:rPr>
        <w:t>Inwestycja znajduje się w obszarze jednolitej części wód podziemnych oznaczonym europejskim kodem PLGW200045, zaliczonym do regionu wodnego Dolnej Wisły. Zgodnie z rozporządzeniem Rady Ministrów z dnia 18 października 2016 r. w sprawie Planu gospodarowania wodami na obszarze dorzecza Wisły, stan ilościowy i chemiczny tej JCWPd oceniono jako dobry. Rozpatrywana jednolita część wód podziemnych nie jest zagrożona ryzykiem nieosiągnięcia celów środowiskowych, tj. utrzymania co najmniej dobrego stanu ilościowego i chemicznego wód podziemnych.</w:t>
      </w:r>
    </w:p>
    <w:p w:rsidR="00D34A9F" w:rsidRPr="00D34A9F" w:rsidRDefault="00D34A9F" w:rsidP="00D34A9F">
      <w:pPr>
        <w:rPr>
          <w:rFonts w:ascii="Arial" w:hAnsi="Arial" w:cs="Arial"/>
        </w:rPr>
      </w:pPr>
      <w:r w:rsidRPr="00D34A9F">
        <w:rPr>
          <w:rFonts w:ascii="Arial" w:hAnsi="Arial" w:cs="Arial"/>
        </w:rPr>
        <w:br/>
        <w:t>Zamierzenie usytuowane jest w obszarze jednolitej części wód powierzchniowych oznaczonym europejskim kodem PLRW20002127935 – „Wisła od granicy Regionu Wodnego Dolnej Wisły do dopł. z Sierzchowa”, zaliczonym do regionu wodnego Dolnej Wisły. Zgodnie z rozporządzeniem Rady Ministrów z dnia 18 października 2016 r. w sprawie Planu gospodarowania wodami na obszarze dorzecza Wisły, ta JCWP posiada status silnie zmienionej części wód, której potencjał oceniono jako dobry. Rozpatrywana jednolita część wód powierzchniowych nie jest zagrożona ryzykiem nieosiągnięcia celów środowiskowych, tj. utrzymania co najmniej dobrego potencjału ekologicznego oraz możliwości migracji</w:t>
      </w:r>
      <w:r w:rsidRPr="00D34A9F">
        <w:rPr>
          <w:rFonts w:ascii="Arial" w:hAnsi="Arial" w:cs="Arial"/>
        </w:rPr>
        <w:br/>
        <w:t>organizmów wodnych na odcinku cieku istotnego – Wisła od Dopływu z Sierzchowa</w:t>
      </w:r>
      <w:r w:rsidRPr="00D34A9F">
        <w:rPr>
          <w:rFonts w:ascii="Arial" w:hAnsi="Arial" w:cs="Arial"/>
        </w:rPr>
        <w:br/>
        <w:t>do granicy Regionu Wodnego Dolnej Wisły i co najmniej dobrego stanu chemicznego wód</w:t>
      </w:r>
      <w:r w:rsidR="00B74159">
        <w:rPr>
          <w:rFonts w:ascii="Arial" w:hAnsi="Arial" w:cs="Arial"/>
        </w:rPr>
        <w:t xml:space="preserve"> </w:t>
      </w:r>
      <w:r w:rsidRPr="00D34A9F">
        <w:rPr>
          <w:rFonts w:ascii="Arial" w:hAnsi="Arial" w:cs="Arial"/>
        </w:rPr>
        <w:t>powierzchniowych.</w:t>
      </w:r>
      <w:r w:rsidRPr="00D34A9F">
        <w:rPr>
          <w:rFonts w:ascii="Arial" w:hAnsi="Arial" w:cs="Arial"/>
        </w:rPr>
        <w:br/>
      </w:r>
    </w:p>
    <w:p w:rsidR="00D34A9F" w:rsidRPr="00D34A9F" w:rsidRDefault="00D34A9F" w:rsidP="00D34A9F">
      <w:pPr>
        <w:rPr>
          <w:rFonts w:ascii="Arial" w:hAnsi="Arial" w:cs="Arial"/>
        </w:rPr>
      </w:pPr>
      <w:r w:rsidRPr="00D34A9F">
        <w:rPr>
          <w:rFonts w:ascii="Arial" w:hAnsi="Arial" w:cs="Arial"/>
        </w:rPr>
        <w:t xml:space="preserve">Etap realizacji przedsięwzięcia będzie się wiązał z wykonaniem wykopów, których głębokość wyniesie około 2,2 m p.p.t. Jak wynika z załączonego opracowania pt.: „Opinia sozologiczna z badań wstępnych określających stan środowiska gruntowo- </w:t>
      </w:r>
      <w:r w:rsidRPr="00D34A9F">
        <w:rPr>
          <w:rFonts w:ascii="Arial" w:hAnsi="Arial" w:cs="Arial"/>
        </w:rPr>
        <w:lastRenderedPageBreak/>
        <w:t xml:space="preserve">wodnego obszaru projektowanej inwestycji zlokalizowanej przy ul. Zalesie na działce nr 4/35, obręb: Kawka we Włocławku”, autorstwa firmy Arcadis Sp. z o.o., </w:t>
      </w:r>
      <w:r w:rsidRPr="00D34A9F">
        <w:rPr>
          <w:rFonts w:ascii="Arial" w:hAnsi="Arial" w:cs="Arial"/>
        </w:rPr>
        <w:br/>
        <w:t>w granicach działki inwestycyjnej wykonano w 2019 r. odwierty i stwierdzono występowanie wód gruntowych na głębokości 3,1-7,5 m p.p.t., w związku z czym nie przewiduje się konieczności</w:t>
      </w:r>
      <w:r w:rsidR="00B74159">
        <w:rPr>
          <w:rFonts w:ascii="Arial" w:hAnsi="Arial" w:cs="Arial"/>
        </w:rPr>
        <w:t xml:space="preserve"> </w:t>
      </w:r>
      <w:r w:rsidRPr="00D34A9F">
        <w:rPr>
          <w:rFonts w:ascii="Arial" w:hAnsi="Arial" w:cs="Arial"/>
        </w:rPr>
        <w:t xml:space="preserve">odwadniania wykopów. Gdyby jednak zaszła potrzeba tymczasowego odwadniania wykopów, np. </w:t>
      </w:r>
      <w:r w:rsidR="00B74159">
        <w:rPr>
          <w:rFonts w:ascii="Arial" w:hAnsi="Arial" w:cs="Arial"/>
        </w:rPr>
        <w:t xml:space="preserve"> </w:t>
      </w:r>
      <w:r w:rsidRPr="00D34A9F">
        <w:rPr>
          <w:rFonts w:ascii="Arial" w:hAnsi="Arial" w:cs="Arial"/>
        </w:rPr>
        <w:t xml:space="preserve">w wyniku znacznych opadów atmosferycznych, wody te zostaną wypompowane i odprowadzone </w:t>
      </w:r>
      <w:r w:rsidRPr="00D34A9F">
        <w:rPr>
          <w:rFonts w:ascii="Arial" w:hAnsi="Arial" w:cs="Arial"/>
        </w:rPr>
        <w:br/>
        <w:t>w granicach działki inwestycyjnej. Tym samym nie zakłada się możliwości naruszenia istniejących warstw wodonośnych. Zakres prowadzonych robót nie spowoduje zakłócenia lub zmiany przepływu wód</w:t>
      </w:r>
      <w:r w:rsidR="00B74159">
        <w:rPr>
          <w:rFonts w:ascii="Arial" w:hAnsi="Arial" w:cs="Arial"/>
        </w:rPr>
        <w:t xml:space="preserve"> </w:t>
      </w:r>
      <w:r w:rsidRPr="00D34A9F">
        <w:rPr>
          <w:rFonts w:ascii="Arial" w:hAnsi="Arial" w:cs="Arial"/>
        </w:rPr>
        <w:t>powierzchniowych i podziemnych.</w:t>
      </w:r>
    </w:p>
    <w:p w:rsidR="00D34A9F" w:rsidRPr="00D34A9F" w:rsidRDefault="00D34A9F" w:rsidP="00D34A9F">
      <w:pPr>
        <w:rPr>
          <w:rFonts w:ascii="Arial" w:hAnsi="Arial" w:cs="Arial"/>
        </w:rPr>
      </w:pPr>
      <w:r w:rsidRPr="00D34A9F">
        <w:rPr>
          <w:rFonts w:ascii="Arial" w:hAnsi="Arial" w:cs="Arial"/>
        </w:rPr>
        <w:br/>
        <w:t>Na etapie budowy, woda będzie dowożona w pojemnikach o pojemności 1000 l. Zakłada się, że w pierwszym etapie prac zostanie wykonany budynek stróżówki, który będzie wyposażony w węzeł sanitarny, co umożliwi pobór wody z miejskiej sieci wodociągowej.</w:t>
      </w:r>
    </w:p>
    <w:p w:rsidR="00D34A9F" w:rsidRPr="00D34A9F" w:rsidRDefault="00D34A9F" w:rsidP="00D34A9F">
      <w:pPr>
        <w:rPr>
          <w:rFonts w:ascii="Arial" w:hAnsi="Arial" w:cs="Arial"/>
        </w:rPr>
      </w:pPr>
      <w:r w:rsidRPr="00D34A9F">
        <w:rPr>
          <w:rFonts w:ascii="Arial" w:hAnsi="Arial" w:cs="Arial"/>
        </w:rPr>
        <w:br/>
        <w:t>Na etapie eksploatacji, woda będzie pobierana z miejskiej sieci wodociągowej, zarówno na cele technologiczne, jak i socjalno-bytowe.</w:t>
      </w:r>
    </w:p>
    <w:p w:rsidR="00D34A9F" w:rsidRPr="00D34A9F" w:rsidRDefault="00D34A9F" w:rsidP="00D34A9F">
      <w:pPr>
        <w:rPr>
          <w:rFonts w:ascii="Arial" w:hAnsi="Arial" w:cs="Arial"/>
        </w:rPr>
      </w:pPr>
      <w:r w:rsidRPr="00D34A9F">
        <w:rPr>
          <w:rFonts w:ascii="Arial" w:hAnsi="Arial" w:cs="Arial"/>
        </w:rPr>
        <w:br/>
        <w:t>W ramach inwestycji zostanie także wykonana stacja uzdatniania wody o wydajności 10 m</w:t>
      </w:r>
      <w:r w:rsidRPr="00D34A9F">
        <w:rPr>
          <w:rFonts w:ascii="Arial" w:hAnsi="Arial" w:cs="Arial"/>
          <w:vertAlign w:val="superscript"/>
        </w:rPr>
        <w:t>3</w:t>
      </w:r>
      <w:r w:rsidRPr="00D34A9F">
        <w:rPr>
          <w:rFonts w:ascii="Arial" w:hAnsi="Arial" w:cs="Arial"/>
        </w:rPr>
        <w:t>/h, wykorzystująca metodę odwróconej osmozy do wytwarzania wody demineralizowanej dla potrzeb produkcji oraz kotłowni.</w:t>
      </w:r>
      <w:r w:rsidRPr="00D34A9F">
        <w:rPr>
          <w:rFonts w:ascii="Arial" w:hAnsi="Arial" w:cs="Arial"/>
        </w:rPr>
        <w:br/>
      </w:r>
    </w:p>
    <w:p w:rsidR="00D34A9F" w:rsidRPr="00D34A9F" w:rsidRDefault="00D34A9F" w:rsidP="00D34A9F">
      <w:pPr>
        <w:rPr>
          <w:rFonts w:ascii="Arial" w:hAnsi="Arial" w:cs="Arial"/>
        </w:rPr>
      </w:pPr>
      <w:r w:rsidRPr="00D34A9F">
        <w:rPr>
          <w:rFonts w:ascii="Arial" w:hAnsi="Arial" w:cs="Arial"/>
        </w:rPr>
        <w:t xml:space="preserve">Na etapie realizacji zostaną wykorzystane przenośne toalety z bezodpływowym zbiornikiem na ścieki, których opróżnianiem zajmować się będzie specjalistyczna firma, posiadająca stosowne zezwolenie. </w:t>
      </w:r>
      <w:r w:rsidRPr="00D34A9F">
        <w:rPr>
          <w:rFonts w:ascii="Arial" w:hAnsi="Arial" w:cs="Arial"/>
        </w:rPr>
        <w:br/>
        <w:t>Po wykonaniu budynku stróżówki, ścieki bytowe planuje się odprowadzać do miejskiej sieci kanalizacji sanitarnej.</w:t>
      </w:r>
      <w:r w:rsidRPr="00D34A9F">
        <w:rPr>
          <w:rFonts w:ascii="Arial" w:hAnsi="Arial" w:cs="Arial"/>
        </w:rPr>
        <w:br/>
      </w:r>
    </w:p>
    <w:p w:rsidR="00D34A9F" w:rsidRPr="00D34A9F" w:rsidRDefault="00D34A9F" w:rsidP="00D34A9F">
      <w:pPr>
        <w:rPr>
          <w:rFonts w:ascii="Arial" w:hAnsi="Arial" w:cs="Arial"/>
        </w:rPr>
      </w:pPr>
      <w:r w:rsidRPr="00D34A9F">
        <w:rPr>
          <w:rFonts w:ascii="Arial" w:hAnsi="Arial" w:cs="Arial"/>
        </w:rPr>
        <w:t>Ścieki bytowe, powstające podczas użytkowania zamierzenia zostaną odprowadzone do miejskiej sieci kanalizacji sanitarnej.</w:t>
      </w:r>
    </w:p>
    <w:p w:rsidR="00D34A9F" w:rsidRPr="00D34A9F" w:rsidRDefault="00D34A9F" w:rsidP="00D34A9F">
      <w:pPr>
        <w:rPr>
          <w:rFonts w:ascii="Arial" w:hAnsi="Arial" w:cs="Arial"/>
        </w:rPr>
      </w:pPr>
      <w:r w:rsidRPr="00D34A9F">
        <w:rPr>
          <w:rFonts w:ascii="Arial" w:hAnsi="Arial" w:cs="Arial"/>
        </w:rPr>
        <w:br/>
        <w:t>Przedsięwzięcie wiąże się z wytwarzaniem ścieków przemysłowych, pochodzących z mycia instalacji do produkcji wodnych dyspersji oraz klejów, które nie zostały zawrócone do zbiorników magazynowych w celu ponownego wykorzystania, ścieków z mycia pojemników, reaktorów, mieszalników i innych elementów instalacji produkcyjnej, a także z prac porządkowych na terenie zakładu. Ścieki te będą podczyszczane w planowanej zakładowej podczyszczalni ścieków przemysłowych o wydajności około 52 000 m</w:t>
      </w:r>
      <w:r w:rsidRPr="00D34A9F">
        <w:rPr>
          <w:rFonts w:ascii="Arial" w:hAnsi="Arial" w:cs="Arial"/>
          <w:vertAlign w:val="superscript"/>
        </w:rPr>
        <w:t>3</w:t>
      </w:r>
      <w:r w:rsidRPr="00D34A9F">
        <w:rPr>
          <w:rFonts w:ascii="Arial" w:hAnsi="Arial" w:cs="Arial"/>
        </w:rPr>
        <w:t>/rok, do wartości wskaźników umożliwiających ich odprowadzenie do miejskiej sieci kanalizacji sanitarnej.</w:t>
      </w:r>
    </w:p>
    <w:p w:rsidR="00D34A9F" w:rsidRPr="00D34A9F" w:rsidRDefault="00D34A9F" w:rsidP="00D34A9F">
      <w:pPr>
        <w:rPr>
          <w:rFonts w:ascii="Arial" w:hAnsi="Arial" w:cs="Arial"/>
        </w:rPr>
      </w:pPr>
      <w:r w:rsidRPr="00D34A9F">
        <w:rPr>
          <w:rFonts w:ascii="Arial" w:hAnsi="Arial" w:cs="Arial"/>
        </w:rPr>
        <w:br/>
        <w:t>Ścieki poprodukcyjne (przemysłowe) zgromadzone zostaną w zbiorniku buforowym o pojemności 20 m</w:t>
      </w:r>
      <w:r w:rsidRPr="00D34A9F">
        <w:rPr>
          <w:rFonts w:ascii="Arial" w:hAnsi="Arial" w:cs="Arial"/>
          <w:vertAlign w:val="superscript"/>
        </w:rPr>
        <w:t>3</w:t>
      </w:r>
      <w:r w:rsidRPr="00D34A9F">
        <w:rPr>
          <w:rFonts w:ascii="Arial" w:hAnsi="Arial" w:cs="Arial"/>
        </w:rPr>
        <w:t>. W zbiorniku nastąpi uśrednienie składu ścieków przed ich podaniem na urządzenia podczyszczalni ścieków. Następnie, surowe ścieki będą przepompowywane do mieszalnika, w którym planuje się dodawać środki powodujące oddzielenie polimeru od fazy wodnej, takie jak koagulat, flokulant oraz bufor pH. Po wytrąceniu zawiesiny, ścieki zostaną poddane procesowi filtracji i nastąpi oddzielenie części stałych od fazy wodnej. Stały uwodniony osad po odsączeniu na prasie trafiać będzie do utylizacji jako odpad o kodzie 19 08 14 – szlamy z innego niż biologiczne oczyszczania ścieków przemysłowych,</w:t>
      </w:r>
      <w:r w:rsidRPr="00D34A9F">
        <w:rPr>
          <w:rFonts w:ascii="Arial" w:hAnsi="Arial" w:cs="Arial"/>
        </w:rPr>
        <w:br/>
      </w:r>
      <w:r w:rsidRPr="00D34A9F">
        <w:rPr>
          <w:rFonts w:ascii="Arial" w:hAnsi="Arial" w:cs="Arial"/>
        </w:rPr>
        <w:lastRenderedPageBreak/>
        <w:t>inne niż wymienione w 19 08 13*. Przesącz trafiać będzie do zbiornika ścieków oczyszczonych i po sprawdzeniu jego parametrów zrzucany do miejskiej sieci kanalizacji sanitarnej.</w:t>
      </w:r>
    </w:p>
    <w:p w:rsidR="00D34A9F" w:rsidRPr="00D34A9F" w:rsidRDefault="00D34A9F" w:rsidP="00D34A9F">
      <w:pPr>
        <w:tabs>
          <w:tab w:val="left" w:pos="1695"/>
        </w:tabs>
        <w:rPr>
          <w:rFonts w:ascii="Arial" w:hAnsi="Arial" w:cs="Arial"/>
        </w:rPr>
      </w:pPr>
      <w:r w:rsidRPr="00D34A9F">
        <w:rPr>
          <w:rFonts w:ascii="Arial" w:hAnsi="Arial" w:cs="Arial"/>
        </w:rPr>
        <w:br/>
        <w:t>Przewiduje się wytwarzanie ścieków bytowych w ilości 2,5 m</w:t>
      </w:r>
      <w:r w:rsidRPr="00D34A9F">
        <w:rPr>
          <w:rFonts w:ascii="Arial" w:hAnsi="Arial" w:cs="Arial"/>
          <w:vertAlign w:val="superscript"/>
        </w:rPr>
        <w:t>3</w:t>
      </w:r>
      <w:r w:rsidRPr="00D34A9F">
        <w:rPr>
          <w:rFonts w:ascii="Arial" w:hAnsi="Arial" w:cs="Arial"/>
        </w:rPr>
        <w:t>/dobę oraz przemysłowych w ilości 20 m</w:t>
      </w:r>
      <w:r w:rsidRPr="00D34A9F">
        <w:rPr>
          <w:rFonts w:ascii="Arial" w:hAnsi="Arial" w:cs="Arial"/>
          <w:vertAlign w:val="superscript"/>
        </w:rPr>
        <w:t>3</w:t>
      </w:r>
      <w:r w:rsidRPr="00D34A9F">
        <w:rPr>
          <w:rFonts w:ascii="Arial" w:hAnsi="Arial" w:cs="Arial"/>
        </w:rPr>
        <w:t>/dobę. Zgodnie z pismem z dnia 25 czerwca 2020 r., znak: NK.KS.4403.5.1700.2020, Miejski Zakład Zieleni i Usług Komunalnych we Włocławku, będący gestorem sieci wodociągowych i kanalizacyjnych, udzielił Inwestorowi promesy na odbiór ścieków bytowych oraz przemysłowych (po uprzednim</w:t>
      </w:r>
      <w:r w:rsidR="00B74159">
        <w:rPr>
          <w:rFonts w:ascii="Arial" w:hAnsi="Arial" w:cs="Arial"/>
        </w:rPr>
        <w:t xml:space="preserve"> </w:t>
      </w:r>
      <w:r w:rsidRPr="00D34A9F">
        <w:rPr>
          <w:rFonts w:ascii="Arial" w:hAnsi="Arial" w:cs="Arial"/>
        </w:rPr>
        <w:t>podczyszczeniu) w ilościach zgodnych ze wskazanymi w raporcie.</w:t>
      </w:r>
    </w:p>
    <w:p w:rsidR="00D34A9F" w:rsidRPr="00D34A9F" w:rsidRDefault="00D34A9F" w:rsidP="00D34A9F">
      <w:pPr>
        <w:tabs>
          <w:tab w:val="left" w:pos="1695"/>
        </w:tabs>
        <w:rPr>
          <w:rFonts w:ascii="Arial" w:hAnsi="Arial" w:cs="Arial"/>
        </w:rPr>
      </w:pPr>
      <w:r w:rsidRPr="00D34A9F">
        <w:rPr>
          <w:rFonts w:ascii="Arial" w:hAnsi="Arial" w:cs="Arial"/>
        </w:rPr>
        <w:br/>
        <w:t>Wody opadowe i roztopowe z powierzchni utwardzonych zostaną odprowadzone do miejskiej sieci kanalizacji deszczowej, po uprzednim podczyszczeniu w separatorze substancji ropopochodnych. Zakłada się częściowe retencjonowanie podczyszczonych wód w szczelnych, podziemnych zbiornikach, przed odprowadzeniem do kanalizacji deszczowej. Wody opadowe i roztopowe z powierzchni dachów będą odprowadzane bezpośrednio do gruntu jako niezanieczyszczone.</w:t>
      </w:r>
    </w:p>
    <w:p w:rsidR="00D34A9F" w:rsidRPr="00D34A9F" w:rsidRDefault="00D34A9F" w:rsidP="00D34A9F">
      <w:pPr>
        <w:tabs>
          <w:tab w:val="left" w:pos="1695"/>
        </w:tabs>
        <w:rPr>
          <w:rFonts w:ascii="Arial" w:hAnsi="Arial" w:cs="Arial"/>
        </w:rPr>
      </w:pPr>
      <w:r w:rsidRPr="00D34A9F">
        <w:rPr>
          <w:rFonts w:ascii="Arial" w:hAnsi="Arial" w:cs="Arial"/>
        </w:rPr>
        <w:br/>
        <w:t>Powyższe rozwiązania z zakresu gospodarki wodno-ściekowej są zgodne z zapisami obowiązującego na tym terenie miejscowego planu zagospodarowania przestrzennego.</w:t>
      </w:r>
    </w:p>
    <w:p w:rsidR="00D34A9F" w:rsidRPr="00D34A9F" w:rsidRDefault="00D34A9F" w:rsidP="00D34A9F">
      <w:pPr>
        <w:tabs>
          <w:tab w:val="left" w:pos="1695"/>
        </w:tabs>
        <w:rPr>
          <w:rFonts w:ascii="Arial" w:hAnsi="Arial" w:cs="Arial"/>
        </w:rPr>
      </w:pPr>
      <w:r w:rsidRPr="00D34A9F">
        <w:rPr>
          <w:rFonts w:ascii="Arial" w:hAnsi="Arial" w:cs="Arial"/>
        </w:rPr>
        <w:br/>
        <w:t>Z uwagi na rodzaj, zakres i lokalizację przedsięwzięcia stwierdza się, że przy zastosowaniu rozwiązań opisanych w przedłożonej dokumentacji, jego realizacja i eksploatacja nie wpłynie negatywnie na ryzyko nieosiągnięcia celów środowiskowych zawartych w Planie gospodarowania wodami na obszarze dorzecza Wisły.</w:t>
      </w:r>
    </w:p>
    <w:p w:rsidR="00D34A9F" w:rsidRPr="00D34A9F" w:rsidRDefault="00D34A9F" w:rsidP="00D34A9F">
      <w:pPr>
        <w:tabs>
          <w:tab w:val="left" w:pos="1695"/>
        </w:tabs>
        <w:rPr>
          <w:rFonts w:ascii="Arial" w:hAnsi="Arial" w:cs="Arial"/>
        </w:rPr>
      </w:pPr>
      <w:r w:rsidRPr="00D34A9F">
        <w:rPr>
          <w:rFonts w:ascii="Arial" w:hAnsi="Arial" w:cs="Arial"/>
        </w:rPr>
        <w:br/>
        <w:t>Biorąc pod uwagę fakt, iż realizacja inwestycji wiązała się będzie z koniecznością przeprowadzenia prac budowlano-montażowych, prace te zostaną wykonane ze szczególną ostrożnością, z zastosowaniem technologii możliwie jak najmniej uciążliwej dla najbliższego sąsiedztwa i środowiska. Sprzęt wykorzystywany podczas prac realizacyjnych będzie sprawny technicznie. Ponadto, plac budowy zostanie wyposażony w środki do usuwania ewentualnych wycieków substancji ropopochodnych, np. sorbenty, które cechują się dużą chłonnością.</w:t>
      </w:r>
    </w:p>
    <w:p w:rsidR="00D34A9F" w:rsidRPr="00D34A9F" w:rsidRDefault="00D34A9F" w:rsidP="00D34A9F">
      <w:pPr>
        <w:tabs>
          <w:tab w:val="left" w:pos="1695"/>
        </w:tabs>
        <w:rPr>
          <w:rFonts w:ascii="Arial" w:hAnsi="Arial" w:cs="Arial"/>
        </w:rPr>
      </w:pPr>
      <w:r w:rsidRPr="00D34A9F">
        <w:rPr>
          <w:rFonts w:ascii="Arial" w:hAnsi="Arial" w:cs="Arial"/>
        </w:rPr>
        <w:br/>
        <w:t>Wszelkie płynne substancje chemiczne wykorzystywane w zakładzie produkcyjnym będą magazynowane w opakowaniach producenta (paletopojemniki 1000 l, beczki 190 l, kanistry 30 l) wewnątrz budynku, w pomieszczeniach posiadających szczelną posadzkę (dodatkowo, w miejscu przechowywania surowców niebezpiecznych – na wannach wychwytowych), a także w zbiornikach podziemnych i naziemnych, wykonanych jako dwupłaszczowe i posiadające stały monitoring wycieków do przestrzeni</w:t>
      </w:r>
      <w:r w:rsidR="00B74159">
        <w:rPr>
          <w:rFonts w:ascii="Arial" w:hAnsi="Arial" w:cs="Arial"/>
        </w:rPr>
        <w:t xml:space="preserve"> </w:t>
      </w:r>
      <w:r w:rsidRPr="00D34A9F">
        <w:rPr>
          <w:rFonts w:ascii="Arial" w:hAnsi="Arial" w:cs="Arial"/>
        </w:rPr>
        <w:t>międzypłaszczowej. Stanowisko rozładunku cystern dostarczających surowce do produkcji zostanie wykonane w obrębie wanny wychwytowej, zabezpieczającej przed przedostawa</w:t>
      </w:r>
      <w:r w:rsidR="00B74159">
        <w:rPr>
          <w:rFonts w:ascii="Arial" w:hAnsi="Arial" w:cs="Arial"/>
        </w:rPr>
        <w:t xml:space="preserve">niem się substancji </w:t>
      </w:r>
      <w:r w:rsidRPr="00D34A9F">
        <w:rPr>
          <w:rFonts w:ascii="Arial" w:hAnsi="Arial" w:cs="Arial"/>
        </w:rPr>
        <w:t xml:space="preserve">do gruntu w razie ewentualnej awarii lub rozszczelnienia cysterny podczas rozładunku. </w:t>
      </w:r>
    </w:p>
    <w:p w:rsidR="00D34A9F" w:rsidRPr="00D34A9F" w:rsidRDefault="00D34A9F" w:rsidP="00D34A9F">
      <w:pPr>
        <w:tabs>
          <w:tab w:val="left" w:pos="1695"/>
        </w:tabs>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Przewiduje się również magazynowanie produktów w części budynku wyznaczonej do przechowywania wyrobów gotowych. Zbiorniki magazynowe zostaną umieszczone na szczelnej posadzce betonowej, </w:t>
      </w:r>
      <w:r w:rsidRPr="00D34A9F">
        <w:rPr>
          <w:rFonts w:ascii="Arial" w:hAnsi="Arial" w:cs="Arial"/>
        </w:rPr>
        <w:br/>
      </w:r>
      <w:r w:rsidRPr="00D34A9F">
        <w:rPr>
          <w:rFonts w:ascii="Arial" w:hAnsi="Arial" w:cs="Arial"/>
        </w:rPr>
        <w:lastRenderedPageBreak/>
        <w:t>a ewentualne odcieki będą odprowadzane układem kanalizacji przemysłowej do zbiornika ścieków surowych, skąd trafią do zakładowej podczyszczalni ścieków, a następnie do miejskiej sieci kanalizacji sanitarnej. Ponadto, również na etapie użytkowania zamierzenia zostanie zapewniona stała dostępność sorbentów odpowiednich do usuwania ewentualnych wycieków wykorzystywanych substancji</w:t>
      </w:r>
      <w:r w:rsidRPr="00D34A9F">
        <w:rPr>
          <w:rFonts w:ascii="Arial" w:hAnsi="Arial" w:cs="Arial"/>
        </w:rPr>
        <w:br/>
        <w:t>chemicznych lub produktów.</w:t>
      </w:r>
    </w:p>
    <w:p w:rsidR="00D34A9F" w:rsidRPr="00D34A9F" w:rsidRDefault="00D34A9F" w:rsidP="00D34A9F">
      <w:pPr>
        <w:rPr>
          <w:rFonts w:ascii="Arial" w:hAnsi="Arial" w:cs="Arial"/>
        </w:rPr>
      </w:pPr>
      <w:r w:rsidRPr="00D34A9F">
        <w:rPr>
          <w:rFonts w:ascii="Arial" w:hAnsi="Arial" w:cs="Arial"/>
        </w:rPr>
        <w:br/>
        <w:t>Surowce stałe będą przechowywane np. w workach 20 kg, wyłącznie wewnątrz budynku, na szczelnej posadzce oraz w zewnętrznych silosach.</w:t>
      </w:r>
    </w:p>
    <w:p w:rsidR="00D34A9F" w:rsidRPr="00D34A9F" w:rsidRDefault="00D34A9F" w:rsidP="00D34A9F">
      <w:pPr>
        <w:rPr>
          <w:rFonts w:ascii="Arial" w:hAnsi="Arial" w:cs="Arial"/>
        </w:rPr>
      </w:pPr>
      <w:r w:rsidRPr="00D34A9F">
        <w:rPr>
          <w:rFonts w:ascii="Arial" w:hAnsi="Arial" w:cs="Arial"/>
        </w:rPr>
        <w:br/>
        <w:t>Zaprojektowane rozwiązania z zakresu magazynowania surowców i wyrobów gotowych oraz produkcji znacznie ograniczą możliwość zanieczyszczenia środowiska wodno-gruntowego.</w:t>
      </w:r>
    </w:p>
    <w:p w:rsidR="00D34A9F" w:rsidRPr="00D34A9F" w:rsidRDefault="00D34A9F" w:rsidP="00D34A9F">
      <w:pPr>
        <w:rPr>
          <w:rFonts w:ascii="Arial" w:hAnsi="Arial" w:cs="Arial"/>
        </w:rPr>
      </w:pPr>
      <w:r w:rsidRPr="00D34A9F">
        <w:rPr>
          <w:rFonts w:ascii="Arial" w:hAnsi="Arial" w:cs="Arial"/>
        </w:rPr>
        <w:br/>
        <w:t>Na etapie budowy będą powstawały odpady związane z:</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pracami ziemnymi,</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użytkowaniem sprzętu budowlanego,</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funkcjonowaniem zaplecza socjalnego dla pracowników.</w:t>
      </w:r>
    </w:p>
    <w:p w:rsidR="00D34A9F" w:rsidRPr="00D34A9F" w:rsidRDefault="00D34A9F" w:rsidP="00D34A9F">
      <w:pPr>
        <w:rPr>
          <w:rFonts w:ascii="Arial" w:hAnsi="Arial" w:cs="Arial"/>
        </w:rPr>
      </w:pPr>
      <w:r w:rsidRPr="00D34A9F">
        <w:rPr>
          <w:rFonts w:ascii="Arial" w:hAnsi="Arial" w:cs="Arial"/>
        </w:rPr>
        <w:br/>
        <w:t>Na terenie budowy mogą powstawać następujące typy odpadów pochodzących z grupy 17 - Odpady z budowy, remontów i demontażu obiektów budowlanych oraz infrastruktury drogowej (włączając glebę i ziemię z terenów zanieczyszczonych). Odpady planuje się magazynować selektywnie, luzem lub jeśli właściwości odpadu, lub jego konsystencja tego wymagają, to w odpowiednich oznakowanych pojemnikach, kontenerach odpornych na działanie zmagazynowanych w nich odpadów. Miejsca</w:t>
      </w:r>
      <w:r w:rsidR="00B74159">
        <w:rPr>
          <w:rFonts w:ascii="Arial" w:hAnsi="Arial" w:cs="Arial"/>
        </w:rPr>
        <w:t xml:space="preserve"> </w:t>
      </w:r>
      <w:r w:rsidRPr="00D34A9F">
        <w:rPr>
          <w:rFonts w:ascii="Arial" w:hAnsi="Arial" w:cs="Arial"/>
        </w:rPr>
        <w:t>magazynowania odpadów powinny być oznaczone.</w:t>
      </w:r>
    </w:p>
    <w:p w:rsidR="00D34A9F" w:rsidRPr="00D34A9F" w:rsidRDefault="00D34A9F" w:rsidP="00D34A9F">
      <w:pPr>
        <w:rPr>
          <w:rFonts w:ascii="Arial" w:hAnsi="Arial" w:cs="Arial"/>
        </w:rPr>
      </w:pPr>
      <w:r w:rsidRPr="00D34A9F">
        <w:rPr>
          <w:rFonts w:ascii="Arial" w:hAnsi="Arial" w:cs="Arial"/>
        </w:rPr>
        <w:br/>
        <w:t>Odpady budowlane z grupy 17 będą następnie przekazywane podmiotom posiadającym stosowne zezwolenia w zakresie gospodarowania odpadami do odzysku lub unieszkodliwienia.</w:t>
      </w:r>
    </w:p>
    <w:p w:rsidR="00D34A9F" w:rsidRPr="00D34A9F" w:rsidRDefault="00D34A9F" w:rsidP="00D34A9F">
      <w:pPr>
        <w:rPr>
          <w:rFonts w:ascii="Arial" w:hAnsi="Arial" w:cs="Arial"/>
        </w:rPr>
      </w:pPr>
      <w:r w:rsidRPr="00D34A9F">
        <w:rPr>
          <w:rFonts w:ascii="Arial" w:hAnsi="Arial" w:cs="Arial"/>
        </w:rPr>
        <w:br/>
        <w:t>Na terenie budowy powstaną odpady bytowe pracowników budowy, tj. puszki, butelki, papiery. Odpady te przewiduje się selektywnie zbierać w opisanych pojemnikach, które będą systematycznie opróżniane.</w:t>
      </w:r>
    </w:p>
    <w:p w:rsidR="00D34A9F" w:rsidRPr="00D34A9F" w:rsidRDefault="00D34A9F" w:rsidP="00D34A9F">
      <w:pPr>
        <w:rPr>
          <w:rFonts w:ascii="Arial" w:hAnsi="Arial" w:cs="Arial"/>
        </w:rPr>
      </w:pPr>
      <w:r w:rsidRPr="00D34A9F">
        <w:rPr>
          <w:rFonts w:ascii="Arial" w:hAnsi="Arial" w:cs="Arial"/>
        </w:rPr>
        <w:br/>
        <w:t>W zakładzie PPPolymers Sp. z o.o. podczas eksploatacji instalacji do produkcji klejów przemysłowych i wodnych dyspersji polimerów i kopolimerów winylowych oraz akrylowych przewiduje się powstawanie odpadów niebezpiecznych i innych niż niebezpieczne.</w:t>
      </w:r>
    </w:p>
    <w:p w:rsidR="00D34A9F" w:rsidRPr="00D34A9F" w:rsidRDefault="00D34A9F" w:rsidP="00D34A9F">
      <w:pPr>
        <w:rPr>
          <w:rFonts w:ascii="Arial" w:hAnsi="Arial" w:cs="Arial"/>
        </w:rPr>
      </w:pPr>
      <w:r w:rsidRPr="00D34A9F">
        <w:rPr>
          <w:rFonts w:ascii="Arial" w:hAnsi="Arial" w:cs="Arial"/>
        </w:rPr>
        <w:br/>
        <w:t>Odpady planuje się gromadzić w opisanym kodem pojemniku, beczce, w wyznaczonym miejscu, w warsztacie, w magazynie odpadów (wiata), w sposób selektywny, w opisanych kodem odpadu pojemnikach o odpowiedniej pojemności. Oznakowanie będzie czytelne i trwałe oraz odporne na warunki atmosferyczne (w przypadku gromadzenia odpadów w wiacie na zewnątrz budynku). Wiata na odpady składa się z zadaszenia na słupach stalowych i zostanie ogrodzona panelami, co zabezpieczy odpady</w:t>
      </w:r>
      <w:r w:rsidR="00B74159">
        <w:rPr>
          <w:rFonts w:ascii="Arial" w:hAnsi="Arial" w:cs="Arial"/>
        </w:rPr>
        <w:t xml:space="preserve"> </w:t>
      </w:r>
      <w:r w:rsidRPr="00D34A9F">
        <w:rPr>
          <w:rFonts w:ascii="Arial" w:hAnsi="Arial" w:cs="Arial"/>
        </w:rPr>
        <w:t>przed ich rozprzestrzenianiem oraz wpływem czynników atmosferycznych. Postawiona</w:t>
      </w:r>
      <w:r w:rsidR="00B74159">
        <w:rPr>
          <w:rFonts w:ascii="Arial" w:hAnsi="Arial" w:cs="Arial"/>
        </w:rPr>
        <w:t xml:space="preserve"> </w:t>
      </w:r>
      <w:r w:rsidRPr="00D34A9F">
        <w:rPr>
          <w:rFonts w:ascii="Arial" w:hAnsi="Arial" w:cs="Arial"/>
        </w:rPr>
        <w:t>zostanie na wylewce betonowej co zabezpieczy przed ewentualnymi wyciekami do gruntu.</w:t>
      </w:r>
      <w:r w:rsidRPr="00D34A9F">
        <w:rPr>
          <w:rFonts w:ascii="Arial" w:hAnsi="Arial" w:cs="Arial"/>
        </w:rPr>
        <w:br/>
      </w:r>
      <w:r w:rsidRPr="00D34A9F">
        <w:rPr>
          <w:rFonts w:ascii="Arial" w:hAnsi="Arial" w:cs="Arial"/>
        </w:rPr>
        <w:lastRenderedPageBreak/>
        <w:t>Miejsce magazynowania odpadów będzie zamykane, aby wyeliminować dostęp osób nieupoważnionych.</w:t>
      </w:r>
    </w:p>
    <w:p w:rsidR="00D34A9F" w:rsidRPr="00D34A9F" w:rsidRDefault="00D34A9F" w:rsidP="00D34A9F">
      <w:pPr>
        <w:rPr>
          <w:rFonts w:ascii="Arial" w:hAnsi="Arial" w:cs="Arial"/>
        </w:rPr>
      </w:pPr>
      <w:r w:rsidRPr="00D34A9F">
        <w:rPr>
          <w:rFonts w:ascii="Arial" w:hAnsi="Arial" w:cs="Arial"/>
        </w:rPr>
        <w:br/>
        <w:t>Wytwarzane odpady planuje się zbierać w miejscach ich powstawania i magazynować do czasu ich odbioru przez jednostkę zewnętrzną w celu ich odzysku lub unieszkodliwienia. Czasowe gromadzenie odpadów prowadzone będzie zgodnie z wymaganiami rozporządzenia Ministra Klimatu z dnia 11 września 2020 r. w sprawie szczegółowych wymagań dla magazynowania odpadów (Dz. U. z 2020 r., poz. 1742). Poszczególne odpady, które powstaną na terenie zakładu, będą magazynowane w sposób</w:t>
      </w:r>
      <w:r w:rsidR="00884B29">
        <w:rPr>
          <w:rFonts w:ascii="Arial" w:hAnsi="Arial" w:cs="Arial"/>
        </w:rPr>
        <w:t xml:space="preserve"> </w:t>
      </w:r>
      <w:r w:rsidRPr="00D34A9F">
        <w:rPr>
          <w:rFonts w:ascii="Arial" w:hAnsi="Arial" w:cs="Arial"/>
        </w:rPr>
        <w:t>selektywny. Gromadzenie odpadów nastąpi na terenie, do którego zakład ma tytuł prawny.</w:t>
      </w:r>
      <w:r w:rsidRPr="00D34A9F">
        <w:rPr>
          <w:rFonts w:ascii="Arial" w:hAnsi="Arial" w:cs="Arial"/>
        </w:rPr>
        <w:br/>
        <w:t>Zakład nie będzie prowadził działalności związanej z unieszkodliwieniem lub odzyskiem odpadów.</w:t>
      </w:r>
      <w:r w:rsidRPr="00D34A9F">
        <w:rPr>
          <w:rFonts w:ascii="Arial" w:hAnsi="Arial" w:cs="Arial"/>
        </w:rPr>
        <w:br/>
        <w:t>Stały uwodniony osad po odsączeniu na prasie trafiać będzie do utylizacji jako odpad o kodzie 19 08 14 Szlamy z innego niż biologiczne oczyszczania ścieków przemysłowych inne niż wymienione w 19 08 13*.</w:t>
      </w:r>
      <w:r w:rsidRPr="00D34A9F">
        <w:rPr>
          <w:rFonts w:ascii="Arial" w:hAnsi="Arial" w:cs="Arial"/>
        </w:rPr>
        <w:br/>
      </w:r>
    </w:p>
    <w:p w:rsidR="00D34A9F" w:rsidRPr="00D34A9F" w:rsidRDefault="00D34A9F" w:rsidP="00D34A9F">
      <w:pPr>
        <w:rPr>
          <w:rFonts w:ascii="Arial" w:hAnsi="Arial" w:cs="Arial"/>
        </w:rPr>
      </w:pPr>
      <w:r w:rsidRPr="00D34A9F">
        <w:rPr>
          <w:rFonts w:ascii="Arial" w:hAnsi="Arial" w:cs="Arial"/>
        </w:rPr>
        <w:t>Odpady wytwarzane w zakładzie zostaną przekazane zewnętrznym odbiorcom, posiadającym stosowne zezwolenia w zakresie zbierania, transportu, recyklingu lub unieszkodliwiania odpadów.</w:t>
      </w:r>
    </w:p>
    <w:p w:rsidR="00D34A9F" w:rsidRPr="00D34A9F" w:rsidRDefault="00D34A9F" w:rsidP="00D34A9F">
      <w:pPr>
        <w:rPr>
          <w:rFonts w:ascii="Arial" w:hAnsi="Arial" w:cs="Arial"/>
        </w:rPr>
      </w:pPr>
      <w:r w:rsidRPr="00D34A9F">
        <w:rPr>
          <w:rFonts w:ascii="Arial" w:hAnsi="Arial" w:cs="Arial"/>
        </w:rPr>
        <w:br/>
        <w:t>W dniu 22 czerwca 2020 r. Sejmik Województwa Kujawsko-Pomorskiego uchwalił nowy program ochrony powietrza dla wszystkich stref województwa kujawsko-pomorskiego, w tym m.in. dla strefy miasto Włocławek (uchwala nr XXIII/338/20 z dnia 22.06.2020 r. w sprawie określenia programu ochrony powietrza w zakresie pyłu zawieszonego PM10 oraz benzo(a)pirenu dla strefy miasto Włocławek). Dokument powstał ze względu na przekroczenie standardów jakości powietrza PM10 i poziomu docelowego bezno(a)pirenu w roku 2018.</w:t>
      </w:r>
    </w:p>
    <w:p w:rsidR="00D34A9F" w:rsidRPr="00D34A9F" w:rsidRDefault="00D34A9F" w:rsidP="00D34A9F">
      <w:pPr>
        <w:rPr>
          <w:rFonts w:ascii="Arial" w:hAnsi="Arial" w:cs="Arial"/>
        </w:rPr>
      </w:pPr>
      <w:r w:rsidRPr="00D34A9F">
        <w:rPr>
          <w:rFonts w:ascii="Arial" w:hAnsi="Arial" w:cs="Arial"/>
        </w:rPr>
        <w:br/>
        <w:t xml:space="preserve">W załączniku nr 4 do ww. uchwały Sejmiku Województwa Kujawsko–Pomorskiego przedstawiono „obowiązki organów i podmiotów zlokalizowanych na terenie strefy objętej programem”. Podmioty korzystające ze środowiska, w tym m.in. Wnioskodawca, zaliczone zostały do emisji punktowej i stwierdzono, </w:t>
      </w:r>
      <w:r w:rsidRPr="00D34A9F">
        <w:rPr>
          <w:rFonts w:ascii="Arial" w:hAnsi="Arial" w:cs="Arial"/>
        </w:rPr>
        <w:br/>
        <w:t>iż mają one niewielki wpływ na wysokość stężeń analizowanych zanieczyszczeń, dlatego też nie wskazano w przedmiotowym programie dedykowanych tym podmiotom zadań. Ich obowiązkiem jest realizacja obowiązków wynikających z przepisów prawa, w szczególności:</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dotrzymywanie standardów emisyjnych,</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wprowadzanie gazów i pyłów do powietrza zgodnie z warunkami określonymi w pozwoleniach,</w:t>
      </w:r>
      <w:r w:rsidRPr="00D34A9F">
        <w:rPr>
          <w:rFonts w:ascii="Arial" w:hAnsi="Arial" w:cs="Arial"/>
        </w:rPr>
        <w:br/>
      </w:r>
      <w:r w:rsidRPr="00D34A9F">
        <w:rPr>
          <w:rFonts w:ascii="Arial" w:hAnsi="Arial" w:cs="Arial"/>
        </w:rPr>
        <w:sym w:font="Symbol" w:char="F02D"/>
      </w:r>
      <w:r w:rsidRPr="00D34A9F">
        <w:rPr>
          <w:rFonts w:ascii="Arial" w:hAnsi="Arial" w:cs="Arial"/>
        </w:rPr>
        <w:t xml:space="preserve"> stosowanie najlepszych dostępnych technik (BAT).</w:t>
      </w:r>
    </w:p>
    <w:p w:rsidR="00D34A9F" w:rsidRPr="00D34A9F" w:rsidRDefault="00D34A9F" w:rsidP="00D34A9F">
      <w:pPr>
        <w:rPr>
          <w:rFonts w:ascii="Arial" w:hAnsi="Arial" w:cs="Arial"/>
        </w:rPr>
      </w:pPr>
      <w:r w:rsidRPr="00D34A9F">
        <w:rPr>
          <w:rFonts w:ascii="Arial" w:hAnsi="Arial" w:cs="Arial"/>
        </w:rPr>
        <w:br/>
        <w:t>Na etapie realizacji przedsięwzięcia, prace budowlane, w szczególności praca ciężkiego sprzętu, wykonywanie prac ziemnych oraz transport materiałów budowlanych, spowodują okresowe uciążliwości takie jak: podwyższony poziom hałasu oraz emisję zanieczyszczeń do powietrza.</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br/>
        <w:t xml:space="preserve">W celu ograniczenia oddziaływań związanych z emisją hałasu, wibracji i zanieczyszczeń do powietrza, uciążliwe prace budowlane (przede wszystkim prace </w:t>
      </w:r>
      <w:r w:rsidRPr="00D34A9F">
        <w:rPr>
          <w:rFonts w:ascii="Arial" w:hAnsi="Arial" w:cs="Arial"/>
        </w:rPr>
        <w:lastRenderedPageBreak/>
        <w:t>hałaśliwe oraz związane z wykorzystywaniem ciężkiego sprzętu/transportu), będą prowadzone wyłącznie w porze dziennej, tj. w godz. 6:00 – 22:00.</w:t>
      </w:r>
    </w:p>
    <w:p w:rsidR="00D34A9F" w:rsidRPr="00D34A9F" w:rsidRDefault="00D34A9F" w:rsidP="00D34A9F">
      <w:pPr>
        <w:rPr>
          <w:rFonts w:ascii="Arial" w:hAnsi="Arial" w:cs="Arial"/>
        </w:rPr>
      </w:pPr>
      <w:r w:rsidRPr="00D34A9F">
        <w:rPr>
          <w:rFonts w:ascii="Arial" w:hAnsi="Arial" w:cs="Arial"/>
        </w:rPr>
        <w:br/>
        <w:t>W celu ograniczenia emisji pyłów na etapie prac realizacyjnych należy przede wszystkim:</w:t>
      </w:r>
      <w:r w:rsidRPr="00D34A9F">
        <w:rPr>
          <w:rFonts w:ascii="Arial" w:hAnsi="Arial" w:cs="Arial"/>
        </w:rPr>
        <w:br/>
      </w:r>
      <w:r w:rsidRPr="00D34A9F">
        <w:rPr>
          <w:rFonts w:ascii="Arial" w:hAnsi="Arial" w:cs="Arial"/>
        </w:rPr>
        <w:sym w:font="Symbol" w:char="F02D"/>
      </w:r>
      <w:r w:rsidRPr="00D34A9F">
        <w:rPr>
          <w:rFonts w:ascii="Arial" w:hAnsi="Arial" w:cs="Arial"/>
        </w:rPr>
        <w:t xml:space="preserve"> stosować materiały sypkie o odpowiedniej wilgotności. W przypadku, jeżeli materiały sypkie będą charakteryzowały się niską wilgotnością, w celu ograniczenia pylenia podczas przesypu należy je zraszać;</w:t>
      </w:r>
      <w:r w:rsidRPr="00D34A9F">
        <w:rPr>
          <w:rFonts w:ascii="Arial" w:hAnsi="Arial" w:cs="Arial"/>
        </w:rPr>
        <w:br/>
      </w:r>
      <w:r w:rsidRPr="00D34A9F">
        <w:rPr>
          <w:rFonts w:ascii="Arial" w:hAnsi="Arial" w:cs="Arial"/>
        </w:rPr>
        <w:sym w:font="Symbol" w:char="F02D"/>
      </w:r>
      <w:r w:rsidRPr="00D34A9F">
        <w:rPr>
          <w:rFonts w:ascii="Arial" w:hAnsi="Arial" w:cs="Arial"/>
        </w:rPr>
        <w:t xml:space="preserve"> zraszać teren budowy wodą, w celu ograniczenia wtórnego pylenia w okresie niekorzystnych warunków meteorologicznych (długotrwały brak opadów i wiatr);</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transportować materiały pylące samochodami, których skrzynia ładunkowa wyposażona zostanie </w:t>
      </w:r>
      <w:r w:rsidRPr="00D34A9F">
        <w:rPr>
          <w:rFonts w:ascii="Arial" w:hAnsi="Arial" w:cs="Arial"/>
        </w:rPr>
        <w:br/>
        <w:t>w opończę lub inne zabezpieczenie ograniczające pylenie transportowanego materiału;</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czyścić pojazdy opuszczające plac budowy oraz okolice wyjazdu z budowy,</w:t>
      </w:r>
      <w:r w:rsidRPr="00D34A9F">
        <w:rPr>
          <w:rFonts w:ascii="Arial" w:hAnsi="Arial" w:cs="Arial"/>
        </w:rPr>
        <w:br/>
        <w:t xml:space="preserve">z ziemi/piasku naniesionych na kołach pojazdów.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Zgodnie z faktycznym zagospodarowaniem, najbliższa zabudowa mieszkaniowa zagrodowa, zlokalizowana jest w odległości ok. 68 m, na działce nr 25 obręb Kawka, gmina Miasto Włocławek.</w:t>
      </w:r>
    </w:p>
    <w:p w:rsidR="00D34A9F" w:rsidRPr="00D34A9F" w:rsidRDefault="00D34A9F" w:rsidP="00D34A9F">
      <w:pPr>
        <w:rPr>
          <w:rFonts w:ascii="Arial" w:hAnsi="Arial" w:cs="Arial"/>
        </w:rPr>
      </w:pPr>
      <w:r w:rsidRPr="00D34A9F">
        <w:rPr>
          <w:rFonts w:ascii="Arial" w:hAnsi="Arial" w:cs="Arial"/>
        </w:rPr>
        <w:br/>
        <w:t>W ramach inwestycji zakłada się wdrożenie do eksploatacji szeregu urządzeń, stanowiących potencjalne źródła emisji hałasu, przy czym większość z nich umiejscowiona zostanie w budynkach, których ściany będą ograniczały rozprzestrzenianie się emitowanego dźwięku. Podstawowymi, zewnętrznymi źródłami hałasu będą:</w:t>
      </w:r>
    </w:p>
    <w:p w:rsidR="00D34A9F" w:rsidRPr="00D34A9F" w:rsidRDefault="00D34A9F" w:rsidP="00D34A9F">
      <w:pPr>
        <w:rPr>
          <w:rFonts w:ascii="Arial" w:hAnsi="Arial" w:cs="Arial"/>
        </w:rPr>
      </w:pPr>
      <w:r w:rsidRPr="00D34A9F">
        <w:rPr>
          <w:rFonts w:ascii="Arial" w:hAnsi="Arial" w:cs="Arial"/>
        </w:rPr>
        <w:t>a) dwie chłodnie wentylatorowe – każda z nich składająca się z 4 celek o mocy akustycznej (przy pełnym obciążeniu) na poziomie 92 dB, przy czym w trakcie normalnej eksploatacji instalacji, w celu zapewnienia odpowiedniego zapotrzebowania na wodę chłodniczą wymagana będzie praca 5 celek, pozostałe 3 stanowić będą zaś rezerwę. W celu ograniczenia oddziaływania akustycznego</w:t>
      </w:r>
      <w:r w:rsidRPr="00D34A9F">
        <w:rPr>
          <w:rFonts w:ascii="Arial" w:hAnsi="Arial" w:cs="Arial"/>
        </w:rPr>
        <w:br/>
        <w:t>chłodni, każda z celek wyposażona zostanie w tłumik hałasu wentylatora, ograniczający moc akustyczną pojedynczej celki o ok. 2 dB. W związku z powyższym każda pojedyncza celka charakteryzować będzie się mocą akustyczną rzędu 90 dB. Dodatkowe ograniczenie oddziaływania akustycznego</w:t>
      </w:r>
      <w:r w:rsidRPr="00D34A9F">
        <w:rPr>
          <w:rFonts w:ascii="Arial" w:hAnsi="Arial" w:cs="Arial"/>
        </w:rPr>
        <w:br/>
        <w:t>chłodni uzyskane zostanie poprzez zainstalowanie automatycznego układu sterowania przemiennikiem częstotliwości prędkości obrotowej wentylatora.</w:t>
      </w:r>
    </w:p>
    <w:p w:rsidR="00D34A9F" w:rsidRPr="00D34A9F" w:rsidRDefault="00D34A9F" w:rsidP="00D34A9F">
      <w:pPr>
        <w:rPr>
          <w:rFonts w:ascii="Arial" w:hAnsi="Arial" w:cs="Arial"/>
        </w:rPr>
      </w:pPr>
      <w:r w:rsidRPr="00D34A9F">
        <w:rPr>
          <w:rFonts w:ascii="Arial" w:hAnsi="Arial" w:cs="Arial"/>
        </w:rPr>
        <w:t xml:space="preserve">System taki umożliwia dostosowanie wydajność chłodni do aktualnych warunków meteorologicznych, </w:t>
      </w:r>
      <w:r w:rsidRPr="00D34A9F">
        <w:rPr>
          <w:rFonts w:ascii="Arial" w:hAnsi="Arial" w:cs="Arial"/>
        </w:rPr>
        <w:br/>
        <w:t>co z uwagi na różnice w temperaturach otoczenia, w znaczący sposób ogranicza jej oddziaływanie akustyczne w poszczególnych okresach doby (pomiędzy porą dnia, a nocy). Różnice te dochodzić mogą,</w:t>
      </w:r>
      <w:r w:rsidRPr="00D34A9F">
        <w:rPr>
          <w:rFonts w:ascii="Arial" w:hAnsi="Arial" w:cs="Arial"/>
        </w:rPr>
        <w:br/>
        <w:t>w odniesieniu do maksymalnych parametrów chłodni, do ok. 10 dB +/- 2 dB.</w:t>
      </w:r>
    </w:p>
    <w:p w:rsidR="00D34A9F" w:rsidRPr="00D34A9F" w:rsidRDefault="00D34A9F" w:rsidP="00D34A9F">
      <w:pPr>
        <w:rPr>
          <w:rFonts w:ascii="Arial" w:hAnsi="Arial" w:cs="Arial"/>
        </w:rPr>
      </w:pPr>
      <w:r w:rsidRPr="00D34A9F">
        <w:rPr>
          <w:rFonts w:ascii="Arial" w:hAnsi="Arial" w:cs="Arial"/>
        </w:rPr>
        <w:t>Przyjąć można zatem, że różnica mocy akustycznej pojedynczej celki pomiędzy porą dzienną, a nocną osiągnie wielkość 5 dB. W najbardziej niekorzystnym wariancie eksploatowane mogą być zatem dwie chłodnie, przy czym pierwsza z nich (źródło Ch-1) obejmować będzie jednoczesną pracę czterech celek, zaś druga (źródło Ch-2) pracę 1 celki. Przy poziomie mocy akustycznej pojedynczej celki 90 dB</w:t>
      </w:r>
      <w:r w:rsidRPr="00D34A9F">
        <w:rPr>
          <w:rFonts w:ascii="Arial" w:hAnsi="Arial" w:cs="Arial"/>
        </w:rPr>
        <w:br/>
        <w:t xml:space="preserve">w porze dziennej oraz 85 dB w porze nocnej, moc akustyczna źródeł zastępczych </w:t>
      </w:r>
      <w:r w:rsidRPr="00D34A9F">
        <w:rPr>
          <w:rFonts w:ascii="Arial" w:hAnsi="Arial" w:cs="Arial"/>
        </w:rPr>
        <w:lastRenderedPageBreak/>
        <w:t>osiągnie wielkość:</w:t>
      </w:r>
      <w:r w:rsidRPr="00D34A9F">
        <w:rPr>
          <w:rFonts w:ascii="Arial" w:hAnsi="Arial" w:cs="Arial"/>
        </w:rPr>
        <w:br/>
      </w:r>
      <w:r w:rsidRPr="00D34A9F">
        <w:rPr>
          <w:rFonts w:ascii="Arial" w:hAnsi="Arial" w:cs="Arial"/>
        </w:rPr>
        <w:sym w:font="Symbol" w:char="F02D"/>
      </w:r>
      <w:r w:rsidRPr="00D34A9F">
        <w:rPr>
          <w:rFonts w:ascii="Arial" w:hAnsi="Arial" w:cs="Arial"/>
        </w:rPr>
        <w:t xml:space="preserve"> Ch-1: 96 dB w porze dziennej oraz 91 dB w porze nocnej,</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Ch-2: 90 dB w porze dziennej oraz 85 dB w porze nocnej.</w:t>
      </w:r>
    </w:p>
    <w:p w:rsidR="00D34A9F" w:rsidRPr="00D34A9F" w:rsidRDefault="00D34A9F" w:rsidP="00D34A9F">
      <w:pPr>
        <w:rPr>
          <w:rFonts w:ascii="Arial" w:hAnsi="Arial" w:cs="Arial"/>
        </w:rPr>
      </w:pPr>
      <w:r w:rsidRPr="00D34A9F">
        <w:rPr>
          <w:rFonts w:ascii="Arial" w:hAnsi="Arial" w:cs="Arial"/>
        </w:rPr>
        <w:t>b) systemy wentylacji budynku przepompowni monomerów oraz hali produkcyjnej</w:t>
      </w:r>
    </w:p>
    <w:p w:rsidR="00D34A9F" w:rsidRPr="00D34A9F" w:rsidRDefault="00D34A9F" w:rsidP="00D34A9F">
      <w:pPr>
        <w:rPr>
          <w:rFonts w:ascii="Arial" w:hAnsi="Arial" w:cs="Arial"/>
        </w:rPr>
      </w:pPr>
      <w:r w:rsidRPr="00D34A9F">
        <w:rPr>
          <w:rFonts w:ascii="Arial" w:hAnsi="Arial" w:cs="Arial"/>
        </w:rPr>
        <w:t>- wentylatory przeznaczone są do wentylacji awaryjnej, działające w krótkim czasie działania oraz tylko w momencie awarii.</w:t>
      </w:r>
    </w:p>
    <w:p w:rsidR="00D34A9F" w:rsidRPr="00D34A9F" w:rsidRDefault="00D34A9F" w:rsidP="00D34A9F">
      <w:pPr>
        <w:rPr>
          <w:rFonts w:ascii="Arial" w:hAnsi="Arial" w:cs="Arial"/>
        </w:rPr>
      </w:pPr>
      <w:r w:rsidRPr="00D34A9F">
        <w:rPr>
          <w:rFonts w:ascii="Arial" w:hAnsi="Arial" w:cs="Arial"/>
        </w:rPr>
        <w:br/>
        <w:t>Wtórne kubaturowe źródła hałasu stanowić będą:</w:t>
      </w:r>
    </w:p>
    <w:p w:rsidR="00D34A9F" w:rsidRPr="00D34A9F" w:rsidRDefault="00D34A9F" w:rsidP="00D34A9F">
      <w:pPr>
        <w:rPr>
          <w:rFonts w:ascii="Arial" w:hAnsi="Arial" w:cs="Arial"/>
        </w:rPr>
      </w:pPr>
      <w:r w:rsidRPr="00D34A9F">
        <w:rPr>
          <w:rFonts w:ascii="Arial" w:hAnsi="Arial" w:cs="Arial"/>
        </w:rPr>
        <w:t>a) budynek hali produkcyjnej (część produkcyjna i część magazynowa),</w:t>
      </w:r>
    </w:p>
    <w:p w:rsidR="00D34A9F" w:rsidRPr="00D34A9F" w:rsidRDefault="00D34A9F" w:rsidP="00D34A9F">
      <w:pPr>
        <w:rPr>
          <w:rFonts w:ascii="Arial" w:hAnsi="Arial" w:cs="Arial"/>
        </w:rPr>
      </w:pPr>
      <w:r w:rsidRPr="00D34A9F">
        <w:rPr>
          <w:rFonts w:ascii="Arial" w:hAnsi="Arial" w:cs="Arial"/>
        </w:rPr>
        <w:br/>
        <w:t>b) budynek przepompowni monomerów.</w:t>
      </w:r>
    </w:p>
    <w:p w:rsidR="00D34A9F" w:rsidRPr="00D34A9F" w:rsidRDefault="00D34A9F" w:rsidP="00D34A9F">
      <w:pPr>
        <w:rPr>
          <w:rFonts w:ascii="Arial" w:hAnsi="Arial" w:cs="Arial"/>
        </w:rPr>
      </w:pPr>
      <w:r w:rsidRPr="00D34A9F">
        <w:rPr>
          <w:rFonts w:ascii="Arial" w:hAnsi="Arial" w:cs="Arial"/>
        </w:rPr>
        <w:br/>
        <w:t>Zewnętrze przegrody budowlane:</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budynku produkcyjnego w części magazynowej wykonane zostaną o izolacyjności akustycznej właściwej – Rw, na poziomie minimum 20 dB dla ścian i minimum 37 dB dla dachu;</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budynku produkcyjnego w części produkcyjnej wykonane zostaną o izolacyjności akustycznej właściwej – Rw, na poziomie minimum 48 dB dla ścian i minimum 37 dB dla dachu;</w:t>
      </w:r>
      <w:r w:rsidRPr="00D34A9F">
        <w:rPr>
          <w:rFonts w:ascii="Arial" w:hAnsi="Arial" w:cs="Arial"/>
        </w:rPr>
        <w:br/>
      </w:r>
      <w:r w:rsidRPr="00D34A9F">
        <w:rPr>
          <w:rFonts w:ascii="Arial" w:hAnsi="Arial" w:cs="Arial"/>
        </w:rPr>
        <w:sym w:font="Symbol" w:char="F02D"/>
      </w:r>
      <w:r w:rsidRPr="00D34A9F">
        <w:rPr>
          <w:rFonts w:ascii="Arial" w:hAnsi="Arial" w:cs="Arial"/>
        </w:rPr>
        <w:t xml:space="preserve"> budynku przepompowni monomerów wykonane zostaną o izolacyjności akustycznej właściwej – Rw, na poziomie minimum 56 dB dla ścian i minimum 32 dB dla dachu.</w:t>
      </w:r>
    </w:p>
    <w:p w:rsidR="00D34A9F" w:rsidRPr="00D34A9F" w:rsidRDefault="00D34A9F" w:rsidP="00D34A9F">
      <w:pPr>
        <w:rPr>
          <w:rFonts w:ascii="Arial" w:hAnsi="Arial" w:cs="Arial"/>
        </w:rPr>
      </w:pPr>
      <w:r w:rsidRPr="00D34A9F">
        <w:rPr>
          <w:rFonts w:ascii="Arial" w:hAnsi="Arial" w:cs="Arial"/>
        </w:rPr>
        <w:br/>
        <w:t xml:space="preserve">Prognozowany rozkład poziomu hałasu pochodzącego z terenu zakładu, został określony przy użyciu programu obliczeniowego HPZ_2001 Wersja marzec’2012 wykonanych, zgodnie z instrukcją </w:t>
      </w:r>
      <w:r w:rsidRPr="00D34A9F">
        <w:rPr>
          <w:rFonts w:ascii="Arial" w:hAnsi="Arial" w:cs="Arial"/>
        </w:rPr>
        <w:br/>
        <w:t xml:space="preserve">nr 338/2003 Instytutu Techniki Budowlanej pt. „Metoda określania emisji i imisji hałasu przemysłowego w środowisku oraz program komputerowy HPZ2001”. Zasady obliczania przewidywanego poziomu hałasu w środowisku od źródła, jakim jest hałas przemysłowy, zawarte w Instrukcji ITB nr 338/2003 </w:t>
      </w:r>
      <w:r w:rsidRPr="00D34A9F">
        <w:rPr>
          <w:rFonts w:ascii="Arial" w:hAnsi="Arial" w:cs="Arial"/>
        </w:rPr>
        <w:br/>
        <w:t>są zgodne z wymaganiami normy PN-ISO 9613-2:2002 (Akustyka – Tłumienie dźwięku podczas</w:t>
      </w:r>
      <w:r w:rsidRPr="00D34A9F">
        <w:rPr>
          <w:rFonts w:ascii="Arial" w:hAnsi="Arial" w:cs="Arial"/>
        </w:rPr>
        <w:br/>
        <w:t>propagacji w przestrzeni otwartej. Ogólna metoda obliczania).</w:t>
      </w:r>
    </w:p>
    <w:p w:rsidR="00D34A9F" w:rsidRPr="00D34A9F" w:rsidRDefault="00D34A9F" w:rsidP="00D34A9F">
      <w:pPr>
        <w:rPr>
          <w:rFonts w:ascii="Arial" w:hAnsi="Arial" w:cs="Arial"/>
        </w:rPr>
      </w:pPr>
      <w:r w:rsidRPr="00D34A9F">
        <w:rPr>
          <w:rFonts w:ascii="Arial" w:hAnsi="Arial" w:cs="Arial"/>
        </w:rPr>
        <w:br/>
        <w:t>Przeprowadzona analiza uciążliwości akustycznej dotycząca funkcjonowania całego zakładu nie wykazała, aby jego eksploatacja spowodowała przekroczenia dopuszczalnych poziomów hałasu w środowisku.</w:t>
      </w:r>
      <w:r w:rsidRPr="00D34A9F">
        <w:rPr>
          <w:rFonts w:ascii="Arial" w:hAnsi="Arial" w:cs="Arial"/>
        </w:rPr>
        <w:br/>
      </w:r>
    </w:p>
    <w:p w:rsidR="00D34A9F" w:rsidRPr="00D34A9F" w:rsidRDefault="00D34A9F" w:rsidP="00D34A9F">
      <w:pPr>
        <w:rPr>
          <w:rFonts w:ascii="Arial" w:hAnsi="Arial" w:cs="Arial"/>
        </w:rPr>
      </w:pPr>
      <w:r w:rsidRPr="00D34A9F">
        <w:rPr>
          <w:rFonts w:ascii="Arial" w:hAnsi="Arial" w:cs="Arial"/>
        </w:rPr>
        <w:t>Niemniej jednak mając na celu zmniejszenie oddziaływania akustycznego wskazuje się wprowadzenie rozwiązania minimalizującego polegającego na zastosowaniu przegrody/ekranu akustycznego o minimalnej wysokości 4,5 m przy planowanych chłodniach wentylatorowych, od strony najbliższej zabudowy mieszkaniowej zagrodowej zlokalizowanej na działce nr 25 obręb Kawka, gmina Miasto Włocławek.</w:t>
      </w:r>
    </w:p>
    <w:p w:rsidR="00D34A9F" w:rsidRPr="00D34A9F" w:rsidRDefault="00D34A9F" w:rsidP="00D34A9F">
      <w:pPr>
        <w:rPr>
          <w:rFonts w:ascii="Arial" w:hAnsi="Arial" w:cs="Arial"/>
        </w:rPr>
      </w:pPr>
      <w:r w:rsidRPr="00D34A9F">
        <w:rPr>
          <w:rFonts w:ascii="Arial" w:hAnsi="Arial" w:cs="Arial"/>
        </w:rPr>
        <w:br/>
        <w:t>Planowane przedsięwzięcie wiąże się z powstaniem nowych źródeł emisji zanieczyszczeń do powietrza atmosferycznego. Emisja gazów do atmosfery pochodzi głównie</w:t>
      </w:r>
      <w:r w:rsidRPr="00D34A9F">
        <w:rPr>
          <w:rFonts w:ascii="Arial" w:hAnsi="Arial" w:cs="Arial"/>
          <w:sz w:val="30"/>
          <w:szCs w:val="30"/>
        </w:rPr>
        <w:t xml:space="preserve"> </w:t>
      </w:r>
      <w:r w:rsidRPr="00D34A9F">
        <w:rPr>
          <w:rFonts w:ascii="Arial" w:hAnsi="Arial" w:cs="Arial"/>
        </w:rPr>
        <w:t>z dwóch źródeł: z instalacji technologicznej oraz ze spalania gazu w kotłowni (produkcja pary technologicznej).</w:t>
      </w:r>
    </w:p>
    <w:p w:rsidR="00D34A9F" w:rsidRPr="00D34A9F" w:rsidRDefault="00D34A9F" w:rsidP="00D34A9F">
      <w:pPr>
        <w:rPr>
          <w:rFonts w:ascii="Arial" w:hAnsi="Arial" w:cs="Arial"/>
        </w:rPr>
      </w:pPr>
      <w:r w:rsidRPr="00D34A9F">
        <w:rPr>
          <w:rFonts w:ascii="Arial" w:hAnsi="Arial" w:cs="Arial"/>
        </w:rPr>
        <w:br/>
        <w:t xml:space="preserve">Emisja technologiczna jest połączona z rodzajem stosowanych w procesie substancji </w:t>
      </w:r>
      <w:r w:rsidRPr="00D34A9F">
        <w:rPr>
          <w:rFonts w:ascii="Arial" w:hAnsi="Arial" w:cs="Arial"/>
        </w:rPr>
        <w:lastRenderedPageBreak/>
        <w:t>będących lotnymi związkami organicznymi. Dotyczy ona jednak głównych surowców, znanych na tym etapie planowanej inwestycji, a które będą stosowane w zakładzie w największych ilościach w skali roku, czyli octanu winylu, styrenu, etylenu, metakrylanu metylu i kwasu akrylowego.</w:t>
      </w:r>
    </w:p>
    <w:p w:rsidR="00D34A9F" w:rsidRPr="00D34A9F" w:rsidRDefault="00D34A9F" w:rsidP="00D34A9F">
      <w:pPr>
        <w:rPr>
          <w:rFonts w:ascii="Arial" w:hAnsi="Arial" w:cs="Arial"/>
        </w:rPr>
      </w:pPr>
      <w:r w:rsidRPr="00D34A9F">
        <w:rPr>
          <w:rFonts w:ascii="Arial" w:hAnsi="Arial" w:cs="Arial"/>
        </w:rPr>
        <w:br/>
        <w:t>Zakłada się jak najwyższy stopień hermetyzacji procesów produkcyjnych, w następujący sposób:</w:t>
      </w:r>
      <w:r w:rsidRPr="00D34A9F">
        <w:rPr>
          <w:rFonts w:ascii="Arial" w:hAnsi="Arial" w:cs="Arial"/>
        </w:rPr>
        <w:br/>
        <w:t>1) W trakcie rozładunku surowców, aby zniwelować emisję LZO zastosowane będzie wahadło gazowe, które pozwala na redukcję emisji do atmosfery o minimum 95%.</w:t>
      </w:r>
    </w:p>
    <w:p w:rsidR="00D34A9F" w:rsidRPr="00D34A9F" w:rsidRDefault="00D34A9F" w:rsidP="00D34A9F">
      <w:pPr>
        <w:rPr>
          <w:rFonts w:ascii="Arial" w:hAnsi="Arial" w:cs="Arial"/>
        </w:rPr>
      </w:pPr>
      <w:r w:rsidRPr="00D34A9F">
        <w:rPr>
          <w:rFonts w:ascii="Arial" w:hAnsi="Arial" w:cs="Arial"/>
        </w:rPr>
        <w:t xml:space="preserve">2) W trakcie napełniania zbiorników naziemnych monomerów surowce ze zbiorników magazynowych podziemnych będą przepompowywane rurociągiem. Zbiorniki naziemne będą szczelne (stosowanie odpowiedniego uszczelnienia na wale mieszadła oraz przy włazach). Wymiana powietrza odbywać się będzie przez zawór oddechowy, który zakończony będzie skruberem/płuczką w celu wychwycenia oparów monomerów i zawrócenia ich do procesu oraz w przypadku napełniania zbiorników monomerem octanu winylu zastosowane będzie wahadło gazowe ze zbiornikiem podziemnym, które pozwalają </w:t>
      </w:r>
      <w:r w:rsidRPr="00D34A9F">
        <w:rPr>
          <w:rFonts w:ascii="Arial" w:hAnsi="Arial" w:cs="Arial"/>
        </w:rPr>
        <w:br/>
        <w:t>na redukcję emisji do atmosfery o minimum 95%.</w:t>
      </w:r>
    </w:p>
    <w:p w:rsidR="00D34A9F" w:rsidRPr="00D34A9F" w:rsidRDefault="00D34A9F" w:rsidP="00D34A9F">
      <w:pPr>
        <w:rPr>
          <w:rFonts w:ascii="Arial" w:hAnsi="Arial" w:cs="Arial"/>
        </w:rPr>
      </w:pPr>
      <w:r w:rsidRPr="00D34A9F">
        <w:rPr>
          <w:rFonts w:ascii="Arial" w:hAnsi="Arial" w:cs="Arial"/>
        </w:rPr>
        <w:t xml:space="preserve">3) Dozowanie do reaktora - dozowanie monomerów w trakcie prowadzenia procesu odbywać się będzie za pomocą pompy rurociągiem. Reaktory w trakcie dozowania będą zamknięte i uszczelnione (stosowanie odpowiedniego uszczelnienia na wale mieszadła oraz przy włazach). Reakcje w dziale P-1 prowadzone będą bezciśnieniowo natomiast w dziale P-3 pod zwiększonym ciśnieniem </w:t>
      </w:r>
      <w:r w:rsidRPr="00D34A9F">
        <w:rPr>
          <w:rFonts w:ascii="Arial" w:hAnsi="Arial" w:cs="Arial"/>
        </w:rPr>
        <w:br/>
        <w:t>z uwagi na gazowy eten. Reaktory zostaną wyposażone w zawory bezpieczeństwa na wypadek niekontrolowanego wzrostu ciśnienia (sytuacja awaryjna). Brak emisji w trakcie prowadzenia</w:t>
      </w:r>
      <w:r w:rsidRPr="00D34A9F">
        <w:rPr>
          <w:rFonts w:ascii="Arial" w:hAnsi="Arial" w:cs="Arial"/>
        </w:rPr>
        <w:br/>
        <w:t>procesu. Po zakończeniu reakcji monomery będą przereagowane, a gotowy produkt zawierać będzie 0,1-0,5% resztkowego monomeru, który rozpuszczony jest w dyspersji.</w:t>
      </w:r>
    </w:p>
    <w:p w:rsidR="00D34A9F" w:rsidRPr="00D34A9F" w:rsidRDefault="00D34A9F" w:rsidP="00D34A9F">
      <w:pPr>
        <w:rPr>
          <w:rFonts w:ascii="Arial" w:hAnsi="Arial" w:cs="Arial"/>
        </w:rPr>
      </w:pPr>
      <w:r w:rsidRPr="00D34A9F">
        <w:rPr>
          <w:rFonts w:ascii="Arial" w:hAnsi="Arial" w:cs="Arial"/>
        </w:rPr>
        <w:t>4) Opróżnianie reaktora - po zakończonej reakcji dyspersja będzie przepompowywana do zbiorników magazynowych lub napełniane będą mniejsze opakowania jednostkowe (paletopojemniki). Resztkowa</w:t>
      </w:r>
      <w:r w:rsidRPr="00D34A9F">
        <w:rPr>
          <w:rFonts w:ascii="Arial" w:hAnsi="Arial" w:cs="Arial"/>
        </w:rPr>
        <w:br/>
        <w:t>zawartość monomeru pozostanie rozpuszczona w produkcie i nie będzie powodować emisji.</w:t>
      </w:r>
      <w:r w:rsidRPr="00D34A9F">
        <w:rPr>
          <w:rFonts w:ascii="Arial" w:hAnsi="Arial" w:cs="Arial"/>
        </w:rPr>
        <w:br/>
        <w:t>5) Silosy magazynowe dla wypełnienia mineralnego wyposażone zostaną w filtry odpylające o sprawności redukcji na poziomie minimum 99%.</w:t>
      </w:r>
    </w:p>
    <w:p w:rsidR="00D34A9F" w:rsidRPr="00D34A9F" w:rsidRDefault="00D34A9F" w:rsidP="00D34A9F">
      <w:pPr>
        <w:rPr>
          <w:rFonts w:ascii="Arial" w:hAnsi="Arial" w:cs="Arial"/>
        </w:rPr>
      </w:pPr>
      <w:r w:rsidRPr="00D34A9F">
        <w:rPr>
          <w:rFonts w:ascii="Arial" w:hAnsi="Arial" w:cs="Arial"/>
        </w:rPr>
        <w:br/>
        <w:t>Do obliczeń przyjęto minimalną wysokość emitorów i do nich dobrano maksymalnie szeroką średnicę. W ten sposób odwzorowano najbardziej niekorzystne warunki dla powietrza atmosferycznego.</w:t>
      </w:r>
      <w:r w:rsidRPr="00D34A9F">
        <w:rPr>
          <w:rFonts w:ascii="Arial" w:hAnsi="Arial" w:cs="Arial"/>
        </w:rPr>
        <w:br/>
      </w:r>
    </w:p>
    <w:p w:rsidR="00D34A9F" w:rsidRPr="00D34A9F" w:rsidRDefault="00D34A9F" w:rsidP="00D34A9F">
      <w:pPr>
        <w:rPr>
          <w:rFonts w:ascii="Arial" w:hAnsi="Arial" w:cs="Arial"/>
        </w:rPr>
      </w:pPr>
      <w:r w:rsidRPr="00D34A9F">
        <w:rPr>
          <w:rFonts w:ascii="Arial" w:hAnsi="Arial" w:cs="Arial"/>
        </w:rPr>
        <w:t xml:space="preserve">Poniżej przedstawia się planowane parametry źródeł emisji: </w:t>
      </w:r>
    </w:p>
    <w:p w:rsidR="00D34A9F" w:rsidRPr="00D34A9F" w:rsidRDefault="00D34A9F" w:rsidP="00D34A9F">
      <w:pPr>
        <w:rPr>
          <w:rFonts w:ascii="Arial" w:hAnsi="Arial" w:cs="Arial"/>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050"/>
        <w:gridCol w:w="1417"/>
        <w:gridCol w:w="1255"/>
        <w:gridCol w:w="1413"/>
        <w:gridCol w:w="1562"/>
        <w:gridCol w:w="1533"/>
      </w:tblGrid>
      <w:tr w:rsidR="00D34A9F" w:rsidRPr="00D34A9F" w:rsidTr="00334E9B">
        <w:tc>
          <w:tcPr>
            <w:tcW w:w="1135"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Nazwa emitora</w:t>
            </w:r>
          </w:p>
        </w:tc>
        <w:tc>
          <w:tcPr>
            <w:tcW w:w="2126"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 xml:space="preserve">Minimalna </w:t>
            </w:r>
          </w:p>
          <w:p w:rsidR="00D34A9F" w:rsidRPr="00D34A9F" w:rsidRDefault="00D34A9F" w:rsidP="00D34A9F">
            <w:pPr>
              <w:rPr>
                <w:rFonts w:ascii="Arial" w:hAnsi="Arial" w:cs="Arial"/>
                <w:b/>
                <w:sz w:val="20"/>
                <w:szCs w:val="20"/>
              </w:rPr>
            </w:pPr>
            <w:r w:rsidRPr="00D34A9F">
              <w:rPr>
                <w:rFonts w:ascii="Arial" w:hAnsi="Arial" w:cs="Arial"/>
                <w:b/>
                <w:sz w:val="20"/>
                <w:szCs w:val="20"/>
              </w:rPr>
              <w:t>Wysokość emitora</w:t>
            </w:r>
          </w:p>
          <w:p w:rsidR="00D34A9F" w:rsidRPr="00D34A9F" w:rsidRDefault="00D34A9F" w:rsidP="00D34A9F">
            <w:pPr>
              <w:rPr>
                <w:rFonts w:ascii="Arial" w:hAnsi="Arial" w:cs="Arial"/>
                <w:b/>
                <w:sz w:val="20"/>
                <w:szCs w:val="20"/>
              </w:rPr>
            </w:pPr>
            <w:r w:rsidRPr="00D34A9F">
              <w:rPr>
                <w:rFonts w:ascii="Arial" w:hAnsi="Arial" w:cs="Arial"/>
                <w:b/>
                <w:sz w:val="20"/>
                <w:szCs w:val="20"/>
              </w:rPr>
              <w:t>[m]</w:t>
            </w:r>
          </w:p>
        </w:tc>
        <w:tc>
          <w:tcPr>
            <w:tcW w:w="1418"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 xml:space="preserve">Maksymalna </w:t>
            </w:r>
          </w:p>
          <w:p w:rsidR="00D34A9F" w:rsidRPr="00D34A9F" w:rsidRDefault="00D34A9F" w:rsidP="00D34A9F">
            <w:pPr>
              <w:rPr>
                <w:rFonts w:ascii="Arial" w:hAnsi="Arial" w:cs="Arial"/>
                <w:b/>
                <w:sz w:val="20"/>
                <w:szCs w:val="20"/>
              </w:rPr>
            </w:pPr>
            <w:r w:rsidRPr="00D34A9F">
              <w:rPr>
                <w:rFonts w:ascii="Arial" w:hAnsi="Arial" w:cs="Arial"/>
                <w:b/>
                <w:sz w:val="20"/>
                <w:szCs w:val="20"/>
              </w:rPr>
              <w:t>Średnica wewnętrzna</w:t>
            </w:r>
          </w:p>
          <w:p w:rsidR="00D34A9F" w:rsidRPr="00D34A9F" w:rsidRDefault="00D34A9F" w:rsidP="00D34A9F">
            <w:pPr>
              <w:rPr>
                <w:rFonts w:ascii="Arial" w:hAnsi="Arial" w:cs="Arial"/>
                <w:b/>
                <w:sz w:val="20"/>
                <w:szCs w:val="20"/>
              </w:rPr>
            </w:pPr>
            <w:r w:rsidRPr="00D34A9F">
              <w:rPr>
                <w:rFonts w:ascii="Arial" w:hAnsi="Arial" w:cs="Arial"/>
                <w:b/>
                <w:sz w:val="20"/>
                <w:szCs w:val="20"/>
              </w:rPr>
              <w:t>[m]</w:t>
            </w:r>
          </w:p>
        </w:tc>
        <w:tc>
          <w:tcPr>
            <w:tcW w:w="1275"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 xml:space="preserve">Typ emitora </w:t>
            </w:r>
          </w:p>
        </w:tc>
        <w:tc>
          <w:tcPr>
            <w:tcW w:w="1418"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Typ emisji</w:t>
            </w:r>
          </w:p>
        </w:tc>
        <w:tc>
          <w:tcPr>
            <w:tcW w:w="1417"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Lokalizacja</w:t>
            </w:r>
          </w:p>
        </w:tc>
        <w:tc>
          <w:tcPr>
            <w:tcW w:w="1560" w:type="dxa"/>
            <w:shd w:val="clear" w:color="auto" w:fill="auto"/>
          </w:tcPr>
          <w:p w:rsidR="00D34A9F" w:rsidRPr="00D34A9F" w:rsidRDefault="00D34A9F" w:rsidP="00D34A9F">
            <w:pPr>
              <w:rPr>
                <w:rFonts w:ascii="Arial" w:hAnsi="Arial" w:cs="Arial"/>
                <w:b/>
                <w:sz w:val="20"/>
                <w:szCs w:val="20"/>
              </w:rPr>
            </w:pPr>
            <w:r w:rsidRPr="00D34A9F">
              <w:rPr>
                <w:rFonts w:ascii="Arial" w:hAnsi="Arial" w:cs="Arial"/>
                <w:b/>
                <w:sz w:val="20"/>
                <w:szCs w:val="20"/>
              </w:rPr>
              <w:t>Uwagi</w:t>
            </w:r>
          </w:p>
        </w:tc>
      </w:tr>
      <w:tr w:rsidR="00D34A9F" w:rsidRPr="00D34A9F" w:rsidTr="00334E9B">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E-11</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6,5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Dachowy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Budynek przepompowni monomerów-emisja monomerów. </w:t>
            </w:r>
          </w:p>
          <w:p w:rsidR="00D34A9F" w:rsidRPr="00D34A9F" w:rsidRDefault="00D34A9F" w:rsidP="00D34A9F">
            <w:pPr>
              <w:rPr>
                <w:rFonts w:ascii="Arial" w:hAnsi="Arial" w:cs="Arial"/>
                <w:sz w:val="20"/>
                <w:szCs w:val="20"/>
              </w:rPr>
            </w:pPr>
            <w:r w:rsidRPr="00D34A9F">
              <w:rPr>
                <w:rFonts w:ascii="Arial" w:hAnsi="Arial" w:cs="Arial"/>
                <w:sz w:val="20"/>
                <w:szCs w:val="20"/>
              </w:rPr>
              <w:lastRenderedPageBreak/>
              <w:t xml:space="preserve">Wentylatory mechaniczne używane są jedynie w sytuacjach awaryjnych, rozlania dużych ilości monomeru,  w celu zmniejszenia stężenia w budynku poniżej wartości dolnej granicy wybuchowości. </w:t>
            </w:r>
          </w:p>
        </w:tc>
        <w:tc>
          <w:tcPr>
            <w:tcW w:w="1560"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lastRenderedPageBreak/>
              <w:t xml:space="preserve">Nazwa monomeru: octan winylu, kwas akrylowy, </w:t>
            </w:r>
            <w:r w:rsidRPr="00D34A9F">
              <w:rPr>
                <w:rFonts w:ascii="Arial" w:hAnsi="Arial" w:cs="Arial"/>
                <w:sz w:val="20"/>
                <w:szCs w:val="20"/>
              </w:rPr>
              <w:lastRenderedPageBreak/>
              <w:t xml:space="preserve">metakrylan metylu, styren, aktylan butylu. </w:t>
            </w:r>
          </w:p>
        </w:tc>
      </w:tr>
      <w:tr w:rsidR="00D34A9F" w:rsidRPr="00D34A9F" w:rsidTr="00334E9B">
        <w:trPr>
          <w:trHeight w:val="70"/>
        </w:trPr>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E-12</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6,5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Dachowy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r w:rsidR="00D34A9F" w:rsidRPr="00D34A9F" w:rsidTr="00334E9B">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E-13</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6,5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Dachowy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r w:rsidR="00D34A9F" w:rsidRPr="00D34A9F" w:rsidTr="00334E9B">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E-14</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6,5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Dachowy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shd w:val="clear" w:color="auto" w:fill="auto"/>
          </w:tcPr>
          <w:p w:rsidR="00D34A9F" w:rsidRPr="00D34A9F" w:rsidRDefault="00D34A9F" w:rsidP="00D34A9F">
            <w:pPr>
              <w:rPr>
                <w:rFonts w:ascii="Arial" w:hAnsi="Arial" w:cs="Arial"/>
                <w:sz w:val="20"/>
                <w:szCs w:val="20"/>
              </w:rPr>
            </w:pPr>
          </w:p>
        </w:tc>
      </w:tr>
      <w:tr w:rsidR="00D34A9F" w:rsidRPr="00D34A9F" w:rsidTr="00334E9B">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E-19</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10</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0,4 x 0,4</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Ścienny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Produkcja P1 –emisja poprzez emitor grawitacyjny </w:t>
            </w:r>
          </w:p>
        </w:tc>
        <w:tc>
          <w:tcPr>
            <w:tcW w:w="1560"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Nazwa monomeru: metakrylan metylu, styren, akrylan butylu</w:t>
            </w:r>
          </w:p>
        </w:tc>
      </w:tr>
      <w:tr w:rsidR="00D34A9F" w:rsidRPr="00D34A9F" w:rsidTr="00334E9B">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E-20</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17,5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0,25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Pionowy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Ciąg manualny </w:t>
            </w:r>
          </w:p>
        </w:tc>
        <w:tc>
          <w:tcPr>
            <w:tcW w:w="1417"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Kotłownia-emisja z procesów spalania paliw </w:t>
            </w:r>
          </w:p>
        </w:tc>
        <w:tc>
          <w:tcPr>
            <w:tcW w:w="1560"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Emisja produktów spalania gazu ziemnego CO</w:t>
            </w:r>
            <w:r w:rsidRPr="00D34A9F">
              <w:rPr>
                <w:rFonts w:ascii="Arial" w:hAnsi="Arial" w:cs="Arial"/>
                <w:sz w:val="20"/>
                <w:szCs w:val="20"/>
                <w:vertAlign w:val="subscript"/>
              </w:rPr>
              <w:t>2</w:t>
            </w:r>
            <w:r w:rsidRPr="00D34A9F">
              <w:rPr>
                <w:rFonts w:ascii="Arial" w:hAnsi="Arial" w:cs="Arial"/>
                <w:sz w:val="20"/>
                <w:szCs w:val="20"/>
              </w:rPr>
              <w:t>, CO, NO</w:t>
            </w:r>
            <w:r w:rsidRPr="00D34A9F">
              <w:rPr>
                <w:rFonts w:ascii="Arial" w:hAnsi="Arial" w:cs="Arial"/>
                <w:sz w:val="20"/>
                <w:szCs w:val="20"/>
                <w:vertAlign w:val="subscript"/>
              </w:rPr>
              <w:t>X</w:t>
            </w:r>
            <w:r w:rsidRPr="00D34A9F">
              <w:rPr>
                <w:rFonts w:ascii="Arial" w:hAnsi="Arial" w:cs="Arial"/>
                <w:sz w:val="20"/>
                <w:szCs w:val="20"/>
              </w:rPr>
              <w:t>, SO</w:t>
            </w:r>
            <w:r w:rsidRPr="00D34A9F">
              <w:rPr>
                <w:rFonts w:ascii="Arial" w:hAnsi="Arial" w:cs="Arial"/>
                <w:sz w:val="20"/>
                <w:szCs w:val="20"/>
                <w:vertAlign w:val="subscript"/>
              </w:rPr>
              <w:t>2</w:t>
            </w:r>
            <w:r w:rsidRPr="00D34A9F">
              <w:rPr>
                <w:rFonts w:ascii="Arial" w:hAnsi="Arial" w:cs="Arial"/>
                <w:sz w:val="20"/>
                <w:szCs w:val="20"/>
              </w:rPr>
              <w:t>, PM10, PM2,5</w:t>
            </w:r>
          </w:p>
        </w:tc>
      </w:tr>
      <w:tr w:rsidR="00D34A9F" w:rsidRPr="00D34A9F" w:rsidTr="00334E9B">
        <w:trPr>
          <w:trHeight w:val="495"/>
        </w:trPr>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E-21</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17,5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Pionowy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Ciąg naturalny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r w:rsidR="00D34A9F" w:rsidRPr="00D34A9F" w:rsidTr="00334E9B">
        <w:trPr>
          <w:trHeight w:val="105"/>
        </w:trPr>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E-22</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17,5</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Pionowy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Ciąg naturalny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r w:rsidR="00D34A9F" w:rsidRPr="00D34A9F" w:rsidTr="00334E9B">
        <w:trPr>
          <w:trHeight w:val="225"/>
        </w:trPr>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E-23</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10</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0,56</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Ścienny</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Grawitacyjny</w:t>
            </w:r>
          </w:p>
        </w:tc>
        <w:tc>
          <w:tcPr>
            <w:tcW w:w="1417"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Produkcja P3- emisja poprzez emitory grawitacyjne. </w:t>
            </w:r>
          </w:p>
          <w:p w:rsidR="00D34A9F" w:rsidRPr="00D34A9F" w:rsidRDefault="00D34A9F" w:rsidP="00D34A9F">
            <w:pPr>
              <w:rPr>
                <w:rFonts w:ascii="Arial" w:hAnsi="Arial" w:cs="Arial"/>
                <w:sz w:val="20"/>
                <w:szCs w:val="20"/>
              </w:rPr>
            </w:pPr>
            <w:r w:rsidRPr="00D34A9F">
              <w:rPr>
                <w:rFonts w:ascii="Arial" w:hAnsi="Arial" w:cs="Arial"/>
                <w:sz w:val="20"/>
                <w:szCs w:val="20"/>
              </w:rPr>
              <w:t xml:space="preserve">Wentylatory mechaniczne używane są jedynie w sytuacjach awaryjnych rozlania dużych ilości monomeru, w celu zmniejszenia stężenia w budynku poniżej wartości dolnej granicy wytrzymałości. </w:t>
            </w:r>
          </w:p>
        </w:tc>
        <w:tc>
          <w:tcPr>
            <w:tcW w:w="1560" w:type="dxa"/>
            <w:vMerge w:val="restart"/>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Nazwa monomeru:</w:t>
            </w:r>
          </w:p>
          <w:p w:rsidR="00D34A9F" w:rsidRPr="00D34A9F" w:rsidRDefault="00D34A9F" w:rsidP="00D34A9F">
            <w:pPr>
              <w:rPr>
                <w:rFonts w:ascii="Arial" w:hAnsi="Arial" w:cs="Arial"/>
                <w:sz w:val="20"/>
                <w:szCs w:val="20"/>
              </w:rPr>
            </w:pPr>
            <w:r w:rsidRPr="00D34A9F">
              <w:rPr>
                <w:rFonts w:ascii="Arial" w:hAnsi="Arial" w:cs="Arial"/>
                <w:sz w:val="20"/>
                <w:szCs w:val="20"/>
              </w:rPr>
              <w:t xml:space="preserve">Octan winylu, etylen </w:t>
            </w:r>
          </w:p>
        </w:tc>
      </w:tr>
      <w:tr w:rsidR="00D34A9F" w:rsidRPr="00D34A9F" w:rsidTr="00334E9B">
        <w:trPr>
          <w:trHeight w:val="109"/>
        </w:trPr>
        <w:tc>
          <w:tcPr>
            <w:tcW w:w="113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E-24</w:t>
            </w:r>
          </w:p>
        </w:tc>
        <w:tc>
          <w:tcPr>
            <w:tcW w:w="2126"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10</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0,56</w:t>
            </w:r>
          </w:p>
        </w:tc>
        <w:tc>
          <w:tcPr>
            <w:tcW w:w="1275"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Ścienny</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Grawitacyjny</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r w:rsidR="00D34A9F" w:rsidRPr="00D34A9F" w:rsidTr="00334E9B">
        <w:trPr>
          <w:trHeight w:val="105"/>
        </w:trPr>
        <w:tc>
          <w:tcPr>
            <w:tcW w:w="1135" w:type="dxa"/>
            <w:tcBorders>
              <w:bottom w:val="single" w:sz="4" w:space="0" w:color="auto"/>
            </w:tcBorders>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E-25</w:t>
            </w:r>
          </w:p>
        </w:tc>
        <w:tc>
          <w:tcPr>
            <w:tcW w:w="2126" w:type="dxa"/>
            <w:tcBorders>
              <w:bottom w:val="single" w:sz="4" w:space="0" w:color="auto"/>
            </w:tcBorders>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10</w:t>
            </w:r>
          </w:p>
        </w:tc>
        <w:tc>
          <w:tcPr>
            <w:tcW w:w="1418" w:type="dxa"/>
            <w:tcBorders>
              <w:bottom w:val="single" w:sz="4" w:space="0" w:color="auto"/>
            </w:tcBorders>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0,56</w:t>
            </w:r>
          </w:p>
        </w:tc>
        <w:tc>
          <w:tcPr>
            <w:tcW w:w="1275" w:type="dxa"/>
            <w:tcBorders>
              <w:bottom w:val="single" w:sz="4" w:space="0" w:color="auto"/>
            </w:tcBorders>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Ścienny </w:t>
            </w:r>
          </w:p>
        </w:tc>
        <w:tc>
          <w:tcPr>
            <w:tcW w:w="1418" w:type="dxa"/>
            <w:shd w:val="clear" w:color="auto" w:fill="auto"/>
          </w:tcPr>
          <w:p w:rsidR="00D34A9F" w:rsidRPr="00D34A9F" w:rsidRDefault="00D34A9F" w:rsidP="00D34A9F">
            <w:pPr>
              <w:rPr>
                <w:rFonts w:ascii="Arial" w:hAnsi="Arial" w:cs="Arial"/>
                <w:sz w:val="20"/>
                <w:szCs w:val="20"/>
              </w:rPr>
            </w:pPr>
            <w:r w:rsidRPr="00D34A9F">
              <w:rPr>
                <w:rFonts w:ascii="Arial" w:hAnsi="Arial" w:cs="Arial"/>
                <w:sz w:val="20"/>
                <w:szCs w:val="20"/>
              </w:rPr>
              <w:t xml:space="preserve">Grawitacyjny </w:t>
            </w:r>
          </w:p>
        </w:tc>
        <w:tc>
          <w:tcPr>
            <w:tcW w:w="1417" w:type="dxa"/>
            <w:vMerge/>
            <w:shd w:val="clear" w:color="auto" w:fill="auto"/>
          </w:tcPr>
          <w:p w:rsidR="00D34A9F" w:rsidRPr="00D34A9F" w:rsidRDefault="00D34A9F" w:rsidP="00D34A9F">
            <w:pPr>
              <w:rPr>
                <w:rFonts w:ascii="Arial" w:hAnsi="Arial" w:cs="Arial"/>
                <w:sz w:val="20"/>
                <w:szCs w:val="20"/>
              </w:rPr>
            </w:pPr>
          </w:p>
        </w:tc>
        <w:tc>
          <w:tcPr>
            <w:tcW w:w="1560" w:type="dxa"/>
            <w:vMerge/>
            <w:shd w:val="clear" w:color="auto" w:fill="auto"/>
          </w:tcPr>
          <w:p w:rsidR="00D34A9F" w:rsidRPr="00D34A9F" w:rsidRDefault="00D34A9F" w:rsidP="00D34A9F">
            <w:pPr>
              <w:rPr>
                <w:rFonts w:ascii="Arial" w:hAnsi="Arial" w:cs="Arial"/>
                <w:sz w:val="20"/>
                <w:szCs w:val="20"/>
              </w:rPr>
            </w:pPr>
          </w:p>
        </w:tc>
      </w:tr>
    </w:tbl>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Analizę rozprzestrzeniania się zanieczyszczeń w powietrzu wykonano przy wykorzystaniu oprogramowania OPERAT FB, opartego o referencyjną metodykę modelowania poziomów substancji w powietrzu określoną w załączniku nr 3 rozporządzenia Ministra Środowiska z dnia 26 stycznia 2010 r. w sprawie wartości odniesienia dla niektórych substancji w powietrzu (Dz. U. z 2010 r. Nr 16, poz. 87). Na podstawie wyników wykonanych obliczeń stwierdzono, że nie przewiduje się negatywnego oddziaływania</w:t>
      </w:r>
      <w:r w:rsidR="00884B29">
        <w:rPr>
          <w:rFonts w:ascii="Arial" w:hAnsi="Arial" w:cs="Arial"/>
        </w:rPr>
        <w:t xml:space="preserve"> </w:t>
      </w:r>
      <w:r w:rsidRPr="00D34A9F">
        <w:rPr>
          <w:rFonts w:ascii="Arial" w:hAnsi="Arial" w:cs="Arial"/>
        </w:rPr>
        <w:t>przedsięwzięcia na jakość powietrza.</w:t>
      </w:r>
    </w:p>
    <w:p w:rsidR="00D34A9F" w:rsidRPr="00D34A9F" w:rsidRDefault="00D34A9F" w:rsidP="00D34A9F">
      <w:pPr>
        <w:rPr>
          <w:rFonts w:ascii="Arial" w:hAnsi="Arial" w:cs="Arial"/>
        </w:rPr>
      </w:pPr>
      <w:r w:rsidRPr="00D34A9F">
        <w:rPr>
          <w:rFonts w:ascii="Arial" w:hAnsi="Arial" w:cs="Arial"/>
        </w:rPr>
        <w:lastRenderedPageBreak/>
        <w:br/>
        <w:t>Zgodnie z przedłożonymi informacjami planowane dwa kotły o nominalnej mocy cieplnej powyżej 1 MW zakwalifikowane są jako średnie źródła spalania, tzw. MCP, dla których standardy emisyjne zostały określone w załączniku nr 5 do rozporządzenia Ministra Klimatu w sprawie standardów emisyjnych dla niektórych rodzajów instalacji, źródeł spalania paliw oraz urządzeń spalania lub współspalania odpadów (Dz. U. z 2020 r., poz. 1860). Wykonana analiza opata została o gwarantowaną przez producentów emisję zanieczyszczeń.</w:t>
      </w:r>
    </w:p>
    <w:p w:rsidR="00D34A9F" w:rsidRPr="00D34A9F" w:rsidRDefault="00D34A9F" w:rsidP="00D34A9F">
      <w:pPr>
        <w:rPr>
          <w:rFonts w:ascii="Arial" w:hAnsi="Arial" w:cs="Arial"/>
        </w:rPr>
      </w:pPr>
      <w:r w:rsidRPr="00D34A9F">
        <w:rPr>
          <w:rFonts w:ascii="Arial" w:hAnsi="Arial" w:cs="Arial"/>
        </w:rPr>
        <w:br/>
        <w:t>W celu minimalizowania oddziaływania zamierzenia na etapie eksploatacji, a także zachowania estetyki krajobrazu, zaplanowano wprowadzenie nasadzeń zieleni otaczającej zakład. Do nasadzeń stosować wyłącznie rodzime gatunki drzew i krzewów (np. świerk pospolity, grab, buk, brzoza, oraz rodzime gatunki dębów i klonów), w tym zimozielone. Do nasadzeń wykorzystać sadzonki drzew o dobrze rozwiniętym systemie korzeniowym i wysokości minimum 200 cm oraz krzewów o dobrze rozwiniętym</w:t>
      </w:r>
      <w:r w:rsidR="00884B29">
        <w:rPr>
          <w:rFonts w:ascii="Arial" w:hAnsi="Arial" w:cs="Arial"/>
        </w:rPr>
        <w:t xml:space="preserve"> </w:t>
      </w:r>
      <w:r w:rsidRPr="00D34A9F">
        <w:rPr>
          <w:rFonts w:ascii="Arial" w:hAnsi="Arial" w:cs="Arial"/>
        </w:rPr>
        <w:t>systemie korzeniowym i poprawnie rozkrzewionej części nadziemnej.</w:t>
      </w:r>
    </w:p>
    <w:p w:rsidR="00D34A9F" w:rsidRPr="00D34A9F" w:rsidRDefault="00D34A9F" w:rsidP="00D34A9F">
      <w:pPr>
        <w:rPr>
          <w:rFonts w:ascii="Arial" w:hAnsi="Arial" w:cs="Arial"/>
        </w:rPr>
      </w:pPr>
      <w:r w:rsidRPr="00D34A9F">
        <w:rPr>
          <w:rFonts w:ascii="Arial" w:hAnsi="Arial" w:cs="Arial"/>
        </w:rPr>
        <w:br/>
        <w:t>Zgodnie z przedstawioną w raporcie informacją, projektowany zakład zalicza się do kategorii zakładów o zwiększonym ryzyku wystąpienia poważnej awarii przemysłowej,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j.t.).</w:t>
      </w:r>
    </w:p>
    <w:p w:rsidR="00D34A9F" w:rsidRPr="00D34A9F" w:rsidRDefault="00D34A9F" w:rsidP="00D34A9F">
      <w:pPr>
        <w:rPr>
          <w:rFonts w:ascii="Arial" w:hAnsi="Arial" w:cs="Arial"/>
        </w:rPr>
      </w:pPr>
      <w:r w:rsidRPr="00D34A9F">
        <w:rPr>
          <w:rFonts w:ascii="Arial" w:hAnsi="Arial" w:cs="Arial"/>
        </w:rPr>
        <w:br/>
        <w:t>Planowane zamierzenie jest zlokalizowane poza obszarami chronionymi w myśl ustawy z dnia 16 kwietnia 2004 r. o ochronie (Dz. U. z 2021 r., poz. 1098 ze zm.).</w:t>
      </w:r>
    </w:p>
    <w:p w:rsidR="00D34A9F" w:rsidRPr="00D34A9F" w:rsidRDefault="00D34A9F" w:rsidP="00D34A9F">
      <w:pPr>
        <w:rPr>
          <w:rFonts w:ascii="Arial" w:hAnsi="Arial" w:cs="Arial"/>
        </w:rPr>
      </w:pPr>
      <w:r w:rsidRPr="00D34A9F">
        <w:rPr>
          <w:rFonts w:ascii="Arial" w:hAnsi="Arial" w:cs="Arial"/>
        </w:rPr>
        <w:br/>
        <w:t>W odległości ok. 200 m od działki zlokalizowane są obszary Natura 2000: Dolina Dolnej Wisły PLB040003 oraz Włocławska Dolina Wisły PLH040039, które nie ulegną naruszeniu w związku z planowaną inwestycją.</w:t>
      </w:r>
    </w:p>
    <w:p w:rsidR="00D34A9F" w:rsidRPr="00D34A9F" w:rsidRDefault="00D34A9F" w:rsidP="00D34A9F">
      <w:pPr>
        <w:rPr>
          <w:rFonts w:ascii="Arial" w:hAnsi="Arial" w:cs="Arial"/>
        </w:rPr>
      </w:pPr>
      <w:r w:rsidRPr="00D34A9F">
        <w:rPr>
          <w:rFonts w:ascii="Arial" w:hAnsi="Arial" w:cs="Arial"/>
        </w:rPr>
        <w:br/>
        <w:t xml:space="preserve">Zgodnie z przedłożoną dokumentacją, na terenie inwestycji stwierdzono występowanie populacji lęgowej skowronka, którego siedlisko może ulec zniszczeniu na skutek planowanego przedsięwzięcia. </w:t>
      </w:r>
      <w:r w:rsidRPr="00D34A9F">
        <w:rPr>
          <w:rFonts w:ascii="Arial" w:hAnsi="Arial" w:cs="Arial"/>
        </w:rPr>
        <w:br/>
        <w:t>Z uwagi na rozpowszechnienie ww. gatunku oraz powszechność potencjalnych siedlisk, nie będzie skutkować to znacząco negatywnym wpływem na jego zachowanie. Jednocześnie w niniejszym postanowieniu, w celu uniknięcia przypadkowego zniszczenia lęgów skowronka lub innych gatunków ptaków (stwierdzonych w sąsiedztwie), mogących wykorzystywać teren inwestycji, jako siedlisko lęgowe, wskazano na wymóg dostosowania terminu prac ziemnych do okresu lęgowego ptaków.</w:t>
      </w:r>
    </w:p>
    <w:p w:rsidR="00D34A9F" w:rsidRPr="00D34A9F" w:rsidRDefault="00D34A9F" w:rsidP="00D34A9F">
      <w:pPr>
        <w:rPr>
          <w:rFonts w:ascii="Arial" w:hAnsi="Arial" w:cs="Arial"/>
        </w:rPr>
      </w:pPr>
      <w:r w:rsidRPr="00D34A9F">
        <w:rPr>
          <w:rFonts w:ascii="Arial" w:hAnsi="Arial" w:cs="Arial"/>
        </w:rPr>
        <w:br/>
        <w:t>Ponadto z uwagi na sąsiedztwo Doliny Wisły i możliwość występowania małych zwierząt (np. drobnych ssaków czy herpetofauny) wskazano na konieczność kontroli terenu robót w ww. zakresie. Ewentualnie stwierdzone zwierzęta, należy przenosić poza zasięg planowanych prac.</w:t>
      </w:r>
    </w:p>
    <w:p w:rsidR="00D34A9F" w:rsidRPr="00D34A9F" w:rsidRDefault="00D34A9F" w:rsidP="00D34A9F">
      <w:pPr>
        <w:rPr>
          <w:rFonts w:ascii="Arial" w:hAnsi="Arial" w:cs="Arial"/>
        </w:rPr>
      </w:pPr>
      <w:r w:rsidRPr="00D34A9F">
        <w:rPr>
          <w:rFonts w:ascii="Arial" w:hAnsi="Arial" w:cs="Arial"/>
        </w:rPr>
        <w:br/>
        <w:t xml:space="preserve">W przypadku stwierdzonych gatunków roślin chronionych (kocanki piaskowe, jarząb szwedzki) przewidziano wykonanie tzw. metaplantacji, tj. przeniesienia roślin w inne </w:t>
      </w:r>
      <w:r w:rsidRPr="00D34A9F">
        <w:rPr>
          <w:rFonts w:ascii="Arial" w:hAnsi="Arial" w:cs="Arial"/>
        </w:rPr>
        <w:lastRenderedPageBreak/>
        <w:t>lokalizacje. W przypadku jarzębu szwedzkiego przesadzone zostaną całe rośliny (aktualnie występujące w formie siewek i podrostu), natomiast w przypadku kocanek piaskowych w raporcie przewidziano zebranie owocostanów i wysianie gatunku w innej lokalizacji (z dopuszczeniem zbioru owocostanów na terenie inwestycji lub w jej sąsiedztwie). W niniejszym postanowieniu uwzględniono również możliwość przesadzenia całych roślin.</w:t>
      </w:r>
    </w:p>
    <w:p w:rsidR="00D34A9F" w:rsidRPr="00D34A9F" w:rsidRDefault="00D34A9F" w:rsidP="00D34A9F">
      <w:pPr>
        <w:rPr>
          <w:rFonts w:ascii="Arial" w:hAnsi="Arial" w:cs="Arial"/>
        </w:rPr>
      </w:pPr>
      <w:r w:rsidRPr="00D34A9F">
        <w:rPr>
          <w:rFonts w:ascii="Arial" w:hAnsi="Arial" w:cs="Arial"/>
        </w:rPr>
        <w:br/>
        <w:t>Inwestycja nie powoduje znacząco negatywnego oddziaływania na ww. obszary Natura 2000, w tym nie przyczyni się do powstania zagrożeń wskazanych w zarządzeniu Regionalnego Dyrektora Ochrony Środowiska w Bydgoszczy i Regionalnego Dyrektora Ochrony Środowiska w Gdańsku z dnia 31 marca 2015 r. w sprawie ustanowienia planu zadań ochronnych dla obszaru Natura 2000 Dolina Dolnej Wisły PLB040003 (Dz. Urz. Woj. Kuj-Pom. z 2015 r. poz. 1184 ze zm.) oraz w zarządzeniu Regionalnego</w:t>
      </w:r>
      <w:r w:rsidR="00884B29">
        <w:rPr>
          <w:rFonts w:ascii="Arial" w:hAnsi="Arial" w:cs="Arial"/>
        </w:rPr>
        <w:t xml:space="preserve"> </w:t>
      </w:r>
      <w:r w:rsidRPr="00D34A9F">
        <w:rPr>
          <w:rFonts w:ascii="Arial" w:hAnsi="Arial" w:cs="Arial"/>
        </w:rPr>
        <w:t>Dyrektora Ochrony Środowiska w Bydgoszczy z dnia 20 maja 2020 r. w sprawie ustanowienia planu zadań ochronnych dla obszaru Natura 2000 Włocławska Dolina Wisły PLH040039 (Dz. Urz. Woj. Kuj-Pom. z 2020 r. poz. 2698).</w:t>
      </w:r>
    </w:p>
    <w:p w:rsidR="00D34A9F" w:rsidRPr="00D34A9F" w:rsidRDefault="00D34A9F" w:rsidP="00D34A9F">
      <w:pPr>
        <w:rPr>
          <w:rFonts w:ascii="Arial" w:hAnsi="Arial" w:cs="Arial"/>
        </w:rPr>
      </w:pPr>
      <w:r w:rsidRPr="00D34A9F">
        <w:rPr>
          <w:rFonts w:ascii="Arial" w:hAnsi="Arial" w:cs="Arial"/>
        </w:rPr>
        <w:br/>
        <w:t>Zamierzenie nie wiąże się ze zniszczeniem lub naruszeniem terenów leśnych, podmokłych, bagiennych i torfowiskowych. Jednocześnie na podstawie analizy przedłożonej dokumentacji nie stwierdza się negatywnego wpływu w zakresie zachowania różnorodności biologicznej.</w:t>
      </w:r>
    </w:p>
    <w:p w:rsidR="00D34A9F" w:rsidRPr="00D34A9F" w:rsidRDefault="00D34A9F" w:rsidP="00D34A9F">
      <w:pPr>
        <w:rPr>
          <w:rFonts w:ascii="Arial" w:hAnsi="Arial" w:cs="Arial"/>
        </w:rPr>
      </w:pPr>
      <w:r w:rsidRPr="00D34A9F">
        <w:rPr>
          <w:rFonts w:ascii="Arial" w:hAnsi="Arial" w:cs="Arial"/>
        </w:rPr>
        <w:br/>
        <w:t>W związku z powyższym nie stwierdza się znacząco negatywnego oddziaływania na obszary chronione, w tym obszary Natura 2000.</w:t>
      </w:r>
    </w:p>
    <w:p w:rsidR="00D34A9F" w:rsidRPr="00D34A9F" w:rsidRDefault="00D34A9F" w:rsidP="00D34A9F">
      <w:pPr>
        <w:rPr>
          <w:rFonts w:ascii="Arial" w:hAnsi="Arial" w:cs="Arial"/>
        </w:rPr>
      </w:pPr>
      <w:r w:rsidRPr="00D34A9F">
        <w:rPr>
          <w:rFonts w:ascii="Arial" w:hAnsi="Arial" w:cs="Arial"/>
        </w:rPr>
        <w:br/>
        <w:t xml:space="preserve">Jednocześnie informuję, że w przypadku jeśli skutkiem robót budowlanych bądź innych prac związanych z realizacją zamierzenia będzie podjęcie czynności objętych zakazami względem gatunków chronionych zwierząt, roślin oraz grzybów, wynikającymi z art. 51 i art. 52 ustawy o ochronie przyrody, np. </w:t>
      </w:r>
      <w:r w:rsidRPr="00D34A9F">
        <w:rPr>
          <w:rFonts w:ascii="Arial" w:hAnsi="Arial" w:cs="Arial"/>
        </w:rPr>
        <w:br/>
        <w:t>w odniesieniu do zwierząt objętych ochroną gatunkową:</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niszczenie ich siedlisk lub ostoi, będących obszarem rozrodu, wychowu młodych, odpoczynku, migracji lub żerowania, jak również niszczenie, usuwanie lub uszkadzanie gniazd, mrowisk, nor, legowisk, żeremi, tam, tarlisk, zimowisk lub innych schronień,</w:t>
      </w:r>
    </w:p>
    <w:p w:rsidR="00D34A9F" w:rsidRPr="00D34A9F" w:rsidRDefault="00D34A9F" w:rsidP="00D34A9F">
      <w:pPr>
        <w:rPr>
          <w:rFonts w:ascii="Arial" w:hAnsi="Arial" w:cs="Arial"/>
        </w:rPr>
      </w:pPr>
      <w:r w:rsidRPr="00D34A9F">
        <w:rPr>
          <w:rFonts w:ascii="Arial" w:hAnsi="Arial" w:cs="Arial"/>
        </w:rPr>
        <w:sym w:font="Symbol" w:char="F02D"/>
      </w:r>
      <w:r w:rsidRPr="00D34A9F">
        <w:rPr>
          <w:rFonts w:ascii="Arial" w:hAnsi="Arial" w:cs="Arial"/>
        </w:rPr>
        <w:t xml:space="preserve"> w odniesieniu do grzybów i roślin – umyślne niszczenie osobników oraz niszczenie siedlisk lub ostoi roślin i grzybów,</w:t>
      </w:r>
    </w:p>
    <w:p w:rsidR="00D34A9F" w:rsidRPr="00D34A9F" w:rsidRDefault="00D34A9F" w:rsidP="00D34A9F">
      <w:pPr>
        <w:rPr>
          <w:rFonts w:ascii="Arial" w:hAnsi="Arial" w:cs="Arial"/>
        </w:rPr>
      </w:pPr>
      <w:r w:rsidRPr="00D34A9F">
        <w:rPr>
          <w:rFonts w:ascii="Arial" w:hAnsi="Arial" w:cs="Arial"/>
        </w:rPr>
        <w:t>Inwestor lub Wykonawca są zobowiązani do uzyskania zgody na wykonania czynności podlegających zakazom na zasadach określonych w art. 56 ustawy o ochronie przyrody.</w:t>
      </w:r>
    </w:p>
    <w:p w:rsidR="00D34A9F" w:rsidRPr="00D34A9F" w:rsidRDefault="00D34A9F" w:rsidP="00D34A9F">
      <w:pPr>
        <w:rPr>
          <w:rFonts w:ascii="Arial" w:hAnsi="Arial" w:cs="Arial"/>
        </w:rPr>
      </w:pPr>
      <w:r w:rsidRPr="00D34A9F">
        <w:rPr>
          <w:rFonts w:ascii="Arial" w:hAnsi="Arial" w:cs="Arial"/>
        </w:rPr>
        <w:br/>
      </w:r>
    </w:p>
    <w:p w:rsidR="00D34A9F" w:rsidRPr="00D34A9F" w:rsidRDefault="00D34A9F" w:rsidP="00D34A9F">
      <w:pPr>
        <w:rPr>
          <w:rFonts w:ascii="Arial" w:hAnsi="Arial" w:cs="Arial"/>
        </w:rPr>
      </w:pPr>
      <w:r w:rsidRPr="00D34A9F">
        <w:rPr>
          <w:rFonts w:ascii="Arial" w:hAnsi="Arial" w:cs="Arial"/>
        </w:rPr>
        <w:t xml:space="preserve">Na etapie uzgadniania, przy określaniu negatywnych oddziaływań, uwzględniono wzajemne powiązania poszczególnych elementów środowiska oraz oddziaływania pośrednie wynikające z tych powiązań.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 xml:space="preserve">Analiza oddziaływania na środowisko objęła więc efekty skumulowane, związane z potencjalną degradacją kilku elementów środowiska, przede wszystkim powietrza oraz klimatu akustycznego. Biorąc pod uwagę powyższe przeanalizowano ryzyko wystąpienia efektu skumulowanego oddziaływania. W wyniku przeprowadzonej </w:t>
      </w:r>
      <w:r w:rsidRPr="00D34A9F">
        <w:rPr>
          <w:rFonts w:ascii="Arial" w:hAnsi="Arial" w:cs="Arial"/>
        </w:rPr>
        <w:lastRenderedPageBreak/>
        <w:t>oceny nie zidentyfikowano znaczących negatywnych oddziaływań skumulowanych.</w:t>
      </w:r>
      <w:r w:rsidRPr="00D34A9F">
        <w:rPr>
          <w:rFonts w:ascii="Arial" w:hAnsi="Arial" w:cs="Arial"/>
        </w:rPr>
        <w:br/>
      </w:r>
    </w:p>
    <w:p w:rsidR="00D34A9F" w:rsidRPr="00D34A9F" w:rsidRDefault="00D34A9F" w:rsidP="00D34A9F">
      <w:pPr>
        <w:rPr>
          <w:rFonts w:ascii="Arial" w:hAnsi="Arial" w:cs="Arial"/>
        </w:rPr>
      </w:pPr>
      <w:r w:rsidRPr="00D34A9F">
        <w:rPr>
          <w:rFonts w:ascii="Arial" w:hAnsi="Arial" w:cs="Arial"/>
        </w:rPr>
        <w:t>Analizując oddziaływanie zamierzenia związane ze zmianami klimatu (mitygacja i adaptacja do zmian klimatu) należy wskazać, iż inwestycja z uwagi na swój charakter nie będzie w sposób znaczący wpływać na zmiany klimatu. Zamierzenie nie będzie istotnym źródłem emisji gazów cieplarnianych. Przewiduje się zainstalowanie źródeł ciepła zasilanych gazem, który jest paliwem charakteryzującym się niższymi współczynnikami emisji niż olej opałowy i węgiel.</w:t>
      </w:r>
    </w:p>
    <w:p w:rsidR="00D34A9F" w:rsidRPr="00D34A9F" w:rsidRDefault="00D34A9F" w:rsidP="00D34A9F">
      <w:pPr>
        <w:rPr>
          <w:rFonts w:ascii="Arial" w:hAnsi="Arial" w:cs="Arial"/>
        </w:rPr>
      </w:pPr>
      <w:r w:rsidRPr="00D34A9F">
        <w:rPr>
          <w:rFonts w:ascii="Arial" w:hAnsi="Arial" w:cs="Arial"/>
        </w:rPr>
        <w:br/>
        <w:t>Ponadto, w ramach działań ograniczających wpływ zamierzenia na zmiany klimatu, przewiduje się zamontowanie energooszczędnego oświetlenia.</w:t>
      </w:r>
    </w:p>
    <w:p w:rsidR="00D34A9F" w:rsidRPr="00D34A9F" w:rsidRDefault="00D34A9F" w:rsidP="00D34A9F">
      <w:pPr>
        <w:rPr>
          <w:rFonts w:ascii="Arial" w:hAnsi="Arial" w:cs="Arial"/>
        </w:rPr>
      </w:pPr>
      <w:r w:rsidRPr="00D34A9F">
        <w:rPr>
          <w:rFonts w:ascii="Arial" w:hAnsi="Arial" w:cs="Arial"/>
        </w:rPr>
        <w:br/>
        <w:t xml:space="preserve">Przeprowadzone w dokumentacji analizy wykazały, że realizacja zamierzenia nie będzie mieć istotnego wpływu na klimat. </w:t>
      </w:r>
    </w:p>
    <w:p w:rsidR="00D34A9F" w:rsidRPr="00D34A9F" w:rsidRDefault="00D34A9F" w:rsidP="00D34A9F">
      <w:pPr>
        <w:rPr>
          <w:rFonts w:ascii="Arial" w:hAnsi="Arial" w:cs="Arial"/>
        </w:rPr>
      </w:pPr>
    </w:p>
    <w:p w:rsidR="00D34A9F" w:rsidRPr="00D34A9F" w:rsidRDefault="00D34A9F" w:rsidP="00D34A9F">
      <w:pPr>
        <w:rPr>
          <w:rFonts w:ascii="Arial" w:hAnsi="Arial" w:cs="Arial"/>
        </w:rPr>
      </w:pPr>
      <w:r w:rsidRPr="00D34A9F">
        <w:rPr>
          <w:rFonts w:ascii="Arial" w:hAnsi="Arial" w:cs="Arial"/>
        </w:rPr>
        <w:t>Zastosowanie zaproponowanych w raporcie o oddziaływaniu na środowisko analizowanego przedsięwzięcia oraz uzupełnieniu rozwiązań technicznych, technologicznych i organizacyjnych, zapewni ochronę środowiska przed negatywnym oddziaływaniem inwestycji na etapie jej realizacji i eksploatacji.</w:t>
      </w:r>
      <w:r w:rsidRPr="00D34A9F">
        <w:rPr>
          <w:rFonts w:ascii="Arial" w:hAnsi="Arial" w:cs="Arial"/>
        </w:rPr>
        <w:br/>
      </w:r>
    </w:p>
    <w:p w:rsidR="00D34A9F" w:rsidRPr="00D34A9F" w:rsidRDefault="00D34A9F" w:rsidP="00D34A9F">
      <w:pPr>
        <w:rPr>
          <w:rFonts w:ascii="Arial" w:hAnsi="Arial" w:cs="Arial"/>
        </w:rPr>
      </w:pPr>
      <w:r w:rsidRPr="00D34A9F">
        <w:rPr>
          <w:rFonts w:ascii="Arial" w:hAnsi="Arial" w:cs="Arial"/>
        </w:rPr>
        <w:t>Ze względu na szczegółowy i jednoznaczny opis planowanej do zastosowania technologii oraz stosownych środków mających na celu zmniejszenie uciążliwości dla środowiska, w związku z planowanym zamierzeniem, nie stwierdzono konieczności przeprowadzania ponownej oceny oddziaływania na środowisko, w ramach postępowania w sprawie wydania decyzji, o których mowa w art. 88 ust. 1 cyt. uouioś, pod warunkiem jednak, że we wniosku o wydanie ww. decyzji nie zostaną dokonane zmiany w stosunku do wymagań określonych w decyzji o środowiskowych uwarunkowaniach oraz w raporcie</w:t>
      </w:r>
      <w:r w:rsidR="00884B29">
        <w:rPr>
          <w:rFonts w:ascii="Arial" w:hAnsi="Arial" w:cs="Arial"/>
        </w:rPr>
        <w:t xml:space="preserve"> </w:t>
      </w:r>
      <w:r w:rsidRPr="00D34A9F">
        <w:rPr>
          <w:rFonts w:ascii="Arial" w:hAnsi="Arial" w:cs="Arial"/>
        </w:rPr>
        <w:t>o oddziaływaniu na środowisko.</w:t>
      </w:r>
    </w:p>
    <w:p w:rsidR="00D34A9F" w:rsidRPr="00D34A9F" w:rsidRDefault="00D34A9F" w:rsidP="00D34A9F">
      <w:pPr>
        <w:rPr>
          <w:rFonts w:ascii="Arial" w:hAnsi="Arial" w:cs="Arial"/>
        </w:rPr>
      </w:pPr>
      <w:r w:rsidRPr="00D34A9F">
        <w:rPr>
          <w:rFonts w:ascii="Arial" w:hAnsi="Arial" w:cs="Arial"/>
        </w:rPr>
        <w:br/>
        <w:t>Ponadto, ze względu na lokalizację inwestycji w dużej odległości od granic państwa oraz zakres jej oddziaływania nie stwierdzono konieczności przeprowadzenia postępowania w sprawie transgranicznego oddziaływania na środowisko.</w:t>
      </w:r>
    </w:p>
    <w:p w:rsidR="00D34A9F" w:rsidRPr="00D34A9F" w:rsidRDefault="00D34A9F" w:rsidP="00D34A9F">
      <w:pPr>
        <w:rPr>
          <w:rFonts w:ascii="Arial" w:hAnsi="Arial" w:cs="Arial"/>
        </w:rPr>
      </w:pPr>
      <w:r w:rsidRPr="00D34A9F">
        <w:rPr>
          <w:rFonts w:ascii="Arial" w:hAnsi="Arial" w:cs="Arial"/>
        </w:rPr>
        <w:br/>
        <w:t>Z uwagi na charakter i skalę przedsięwzięcia określono powyższe warunki środowiskowe.</w:t>
      </w:r>
    </w:p>
    <w:p w:rsidR="00D34A9F" w:rsidRPr="00D34A9F" w:rsidRDefault="00D34A9F" w:rsidP="00D34A9F">
      <w:pPr>
        <w:tabs>
          <w:tab w:val="left" w:pos="1695"/>
        </w:tabs>
        <w:rPr>
          <w:rFonts w:ascii="Arial" w:hAnsi="Arial" w:cs="Arial"/>
          <w:color w:val="FF0000"/>
        </w:rPr>
      </w:pPr>
    </w:p>
    <w:p w:rsidR="00D34A9F" w:rsidRPr="00D34A9F" w:rsidRDefault="00D34A9F" w:rsidP="00D34A9F">
      <w:pPr>
        <w:tabs>
          <w:tab w:val="left" w:pos="1695"/>
        </w:tabs>
        <w:rPr>
          <w:rFonts w:ascii="Arial" w:hAnsi="Arial" w:cs="Arial"/>
        </w:rPr>
      </w:pPr>
    </w:p>
    <w:p w:rsidR="00D34A9F" w:rsidRPr="005367E3" w:rsidRDefault="00D34A9F" w:rsidP="00D34A9F">
      <w:pPr>
        <w:tabs>
          <w:tab w:val="left" w:pos="1695"/>
        </w:tabs>
        <w:rPr>
          <w:rFonts w:ascii="Arial" w:hAnsi="Arial" w:cs="Arial"/>
          <w:sz w:val="16"/>
          <w:szCs w:val="16"/>
        </w:rPr>
      </w:pPr>
      <w:r w:rsidRPr="005367E3">
        <w:rPr>
          <w:rFonts w:ascii="Arial" w:hAnsi="Arial" w:cs="Arial"/>
          <w:sz w:val="16"/>
          <w:szCs w:val="16"/>
        </w:rPr>
        <w:t>Zgodnie z częścią</w:t>
      </w:r>
      <w:r w:rsidRPr="005367E3">
        <w:rPr>
          <w:rFonts w:ascii="Arial" w:hAnsi="Arial" w:cs="Arial"/>
          <w:b/>
          <w:sz w:val="16"/>
          <w:szCs w:val="16"/>
        </w:rPr>
        <w:t xml:space="preserve"> </w:t>
      </w:r>
      <w:r w:rsidRPr="005367E3">
        <w:rPr>
          <w:rFonts w:ascii="Arial" w:hAnsi="Arial" w:cs="Arial"/>
          <w:sz w:val="16"/>
          <w:szCs w:val="16"/>
        </w:rPr>
        <w:t>I pkt 45 załącznika ustawy o opłacie skarbowej opłatę skarbową za wydanie decyzji o środowiskowych uwarunkowaniach</w:t>
      </w:r>
      <w:r w:rsidRPr="005367E3">
        <w:rPr>
          <w:rFonts w:ascii="Arial" w:hAnsi="Arial" w:cs="Arial"/>
          <w:b/>
          <w:sz w:val="16"/>
          <w:szCs w:val="16"/>
        </w:rPr>
        <w:t xml:space="preserve"> </w:t>
      </w:r>
      <w:r w:rsidRPr="005367E3">
        <w:rPr>
          <w:rFonts w:ascii="Arial" w:hAnsi="Arial" w:cs="Arial"/>
          <w:sz w:val="16"/>
          <w:szCs w:val="16"/>
        </w:rPr>
        <w:t xml:space="preserve">uiszczono w dniu 04.03.2019 r. . w wysokości 205 zł. </w:t>
      </w:r>
    </w:p>
    <w:p w:rsidR="00D34A9F" w:rsidRPr="00D34A9F" w:rsidRDefault="00D34A9F" w:rsidP="00D34A9F">
      <w:pPr>
        <w:tabs>
          <w:tab w:val="left" w:pos="1695"/>
        </w:tabs>
        <w:rPr>
          <w:rFonts w:ascii="Arial" w:hAnsi="Arial" w:cs="Arial"/>
          <w:i/>
          <w:sz w:val="16"/>
          <w:szCs w:val="16"/>
        </w:rPr>
      </w:pPr>
    </w:p>
    <w:p w:rsidR="00D34A9F" w:rsidRPr="00D34A9F" w:rsidRDefault="00D34A9F" w:rsidP="00D34A9F">
      <w:pPr>
        <w:rPr>
          <w:rFonts w:ascii="Arial" w:hAnsi="Arial" w:cs="Arial"/>
        </w:rPr>
      </w:pPr>
    </w:p>
    <w:p w:rsidR="00D34A9F" w:rsidRPr="00D34A9F" w:rsidRDefault="00D34A9F" w:rsidP="00D34A9F">
      <w:pPr>
        <w:rPr>
          <w:rFonts w:ascii="Arial" w:hAnsi="Arial" w:cs="Arial"/>
        </w:rPr>
      </w:pPr>
    </w:p>
    <w:p w:rsidR="00D34A9F" w:rsidRPr="00D34A9F" w:rsidRDefault="00D34A9F" w:rsidP="00D34A9F">
      <w:pPr>
        <w:rPr>
          <w:rFonts w:ascii="Arial" w:hAnsi="Arial" w:cs="Arial"/>
        </w:rPr>
      </w:pPr>
    </w:p>
    <w:p w:rsidR="00D34A9F" w:rsidRPr="00D34A9F" w:rsidRDefault="00D34A9F" w:rsidP="00D34A9F">
      <w:pPr>
        <w:rPr>
          <w:rFonts w:ascii="Arial" w:hAnsi="Arial" w:cs="Arial"/>
          <w:b/>
        </w:rPr>
      </w:pPr>
      <w:r w:rsidRPr="00D34A9F">
        <w:rPr>
          <w:rFonts w:ascii="Arial" w:hAnsi="Arial" w:cs="Arial"/>
          <w:b/>
        </w:rPr>
        <w:t>Pouczenie</w:t>
      </w:r>
    </w:p>
    <w:p w:rsidR="00D34A9F" w:rsidRPr="00D34A9F" w:rsidRDefault="00D34A9F" w:rsidP="00D34A9F">
      <w:pPr>
        <w:rPr>
          <w:rFonts w:ascii="Arial" w:hAnsi="Arial" w:cs="Arial"/>
          <w:b/>
        </w:rPr>
      </w:pPr>
    </w:p>
    <w:p w:rsidR="00D34A9F" w:rsidRPr="00D34A9F" w:rsidRDefault="00D34A9F" w:rsidP="00D34A9F">
      <w:pPr>
        <w:rPr>
          <w:rFonts w:ascii="Arial" w:hAnsi="Arial" w:cs="Arial"/>
        </w:rPr>
      </w:pPr>
      <w:r w:rsidRPr="00D34A9F">
        <w:rPr>
          <w:rFonts w:ascii="Arial" w:hAnsi="Arial" w:cs="Arial"/>
        </w:rPr>
        <w:t>Od niniejszej decyzji przysługuje stronom wniesienie odwołania do Samorządowego Kolegium Odwoławczego we Włocławku za pośrednictwem Prezydenta Mias</w:t>
      </w:r>
      <w:r w:rsidR="005367E3">
        <w:rPr>
          <w:rFonts w:ascii="Arial" w:hAnsi="Arial" w:cs="Arial"/>
        </w:rPr>
        <w:t xml:space="preserve">ta Włocławek w terminie 14 dni </w:t>
      </w:r>
      <w:r w:rsidRPr="00D34A9F">
        <w:rPr>
          <w:rFonts w:ascii="Arial" w:hAnsi="Arial" w:cs="Arial"/>
        </w:rPr>
        <w:t xml:space="preserve">od dnia jej doręczenia. </w:t>
      </w:r>
    </w:p>
    <w:p w:rsidR="00D34A9F" w:rsidRPr="00D34A9F" w:rsidRDefault="00D34A9F" w:rsidP="00D34A9F">
      <w:pPr>
        <w:rPr>
          <w:rFonts w:ascii="Arial" w:hAnsi="Arial" w:cs="Arial"/>
        </w:rPr>
      </w:pPr>
      <w:r w:rsidRPr="00D34A9F">
        <w:rPr>
          <w:rFonts w:ascii="Arial" w:hAnsi="Arial" w:cs="Arial"/>
        </w:rPr>
        <w:t xml:space="preserve">Decyzja o środowiskowych uwarunkowaniach nie narusza prawa własności ani nie daje też inwestorowi żadnych praw do terenu potencjalnego zainwestowania. Określa natomiast jedynie wpływ przedsięwzięcia na środowisko i wymagania jakie powinny </w:t>
      </w:r>
      <w:r w:rsidRPr="00D34A9F">
        <w:rPr>
          <w:rFonts w:ascii="Arial" w:hAnsi="Arial" w:cs="Arial"/>
        </w:rPr>
        <w:lastRenderedPageBreak/>
        <w:t>być spełnione, aby zminimalizować skutki negatywnego wpływu czynników szkodliwych.</w:t>
      </w:r>
    </w:p>
    <w:p w:rsidR="00D34A9F" w:rsidRPr="00D34A9F" w:rsidRDefault="00D34A9F" w:rsidP="00D34A9F">
      <w:pPr>
        <w:shd w:val="clear" w:color="auto" w:fill="FFFFFF"/>
        <w:rPr>
          <w:rFonts w:ascii="Arial" w:hAnsi="Arial" w:cs="Arial"/>
        </w:rPr>
      </w:pPr>
      <w:r w:rsidRPr="00D34A9F">
        <w:rPr>
          <w:rFonts w:ascii="Arial" w:hAnsi="Arial" w:cs="Arial"/>
        </w:rPr>
        <w:t>Decyzja ta nie jest również pozwoleniem na budowę i nie uprawnia do rozpoczęcia robót budowlanych.</w:t>
      </w:r>
    </w:p>
    <w:p w:rsidR="00D34A9F" w:rsidRPr="00D34A9F" w:rsidRDefault="00D34A9F" w:rsidP="00D34A9F">
      <w:pPr>
        <w:shd w:val="clear" w:color="auto" w:fill="FFFFFF"/>
        <w:rPr>
          <w:rFonts w:ascii="Arial" w:hAnsi="Arial" w:cs="Arial"/>
        </w:rPr>
      </w:pPr>
      <w:r w:rsidRPr="00D34A9F">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rsidR="00D34A9F" w:rsidRPr="00D34A9F" w:rsidRDefault="00D34A9F" w:rsidP="00D34A9F">
      <w:pPr>
        <w:rPr>
          <w:rFonts w:ascii="Arial" w:hAnsi="Arial" w:cs="Arial"/>
        </w:rPr>
      </w:pPr>
      <w:r w:rsidRPr="00D34A9F">
        <w:rPr>
          <w:rFonts w:ascii="Arial" w:hAnsi="Arial" w:cs="Arial"/>
        </w:rPr>
        <w:t>Zgodnie z art. 72 ust. 3 ustawy o udostępnianiu informacji o śro</w:t>
      </w:r>
      <w:r w:rsidR="005367E3">
        <w:rPr>
          <w:rFonts w:ascii="Arial" w:hAnsi="Arial" w:cs="Arial"/>
        </w:rPr>
        <w:t xml:space="preserve">dowisku, udziale społeczeństwa </w:t>
      </w:r>
      <w:r w:rsidRPr="00D34A9F">
        <w:rPr>
          <w:rFonts w:ascii="Arial" w:hAnsi="Arial" w:cs="Arial"/>
        </w:rPr>
        <w:t xml:space="preserve">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rsidR="00D34A9F" w:rsidRPr="00D34A9F" w:rsidRDefault="00D34A9F" w:rsidP="00D34A9F">
      <w:pPr>
        <w:pStyle w:val="Tekstpodstawowy"/>
        <w:spacing w:after="0"/>
        <w:rPr>
          <w:rFonts w:ascii="Arial" w:hAnsi="Arial" w:cs="Arial"/>
        </w:rPr>
      </w:pPr>
      <w:r w:rsidRPr="00D34A9F">
        <w:rPr>
          <w:rFonts w:ascii="Arial" w:hAnsi="Arial" w:cs="Arial"/>
        </w:rPr>
        <w:t>Zgodnie z art. 127a ustawy Kodeks postępowania administrac</w:t>
      </w:r>
      <w:r w:rsidR="005367E3">
        <w:rPr>
          <w:rFonts w:ascii="Arial" w:hAnsi="Arial" w:cs="Arial"/>
        </w:rPr>
        <w:t xml:space="preserve">yjnego w trakcie biegu terminu </w:t>
      </w:r>
      <w:r w:rsidRPr="00D34A9F">
        <w:rPr>
          <w:rFonts w:ascii="Arial" w:hAnsi="Arial" w:cs="Arial"/>
        </w:rPr>
        <w:t xml:space="preserve">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D34A9F">
        <w:rPr>
          <w:rFonts w:ascii="Arial" w:hAnsi="Arial" w:cs="Arial"/>
        </w:rPr>
        <w:br/>
        <w:t>i prawomocna.</w:t>
      </w:r>
    </w:p>
    <w:p w:rsidR="00D34A9F" w:rsidRPr="00D34A9F" w:rsidRDefault="00D34A9F" w:rsidP="00D34A9F">
      <w:pPr>
        <w:rPr>
          <w:rFonts w:ascii="Arial" w:hAnsi="Arial" w:cs="Arial"/>
          <w:sz w:val="20"/>
          <w:szCs w:val="20"/>
        </w:rPr>
      </w:pPr>
    </w:p>
    <w:p w:rsidR="00D34A9F" w:rsidRPr="00D34A9F" w:rsidRDefault="00D34A9F" w:rsidP="00D34A9F">
      <w:pPr>
        <w:rPr>
          <w:rFonts w:ascii="Arial" w:hAnsi="Arial" w:cs="Arial"/>
          <w:b/>
          <w:sz w:val="22"/>
          <w:szCs w:val="22"/>
        </w:rPr>
      </w:pPr>
    </w:p>
    <w:p w:rsidR="00D34A9F" w:rsidRPr="00D34A9F" w:rsidRDefault="00D34A9F" w:rsidP="00D34A9F">
      <w:pPr>
        <w:rPr>
          <w:rFonts w:ascii="Arial" w:hAnsi="Arial" w:cs="Arial"/>
          <w:b/>
          <w:sz w:val="22"/>
          <w:szCs w:val="22"/>
        </w:rPr>
      </w:pPr>
    </w:p>
    <w:p w:rsidR="00D34A9F" w:rsidRPr="00D34A9F" w:rsidRDefault="00D34A9F" w:rsidP="00D34A9F">
      <w:pPr>
        <w:rPr>
          <w:rFonts w:ascii="Arial" w:hAnsi="Arial" w:cs="Arial"/>
          <w:b/>
          <w:sz w:val="22"/>
          <w:szCs w:val="22"/>
        </w:rPr>
      </w:pPr>
    </w:p>
    <w:p w:rsidR="00D34A9F" w:rsidRPr="00D34A9F" w:rsidRDefault="00D34A9F" w:rsidP="00D34A9F">
      <w:pPr>
        <w:rPr>
          <w:rFonts w:ascii="Arial" w:hAnsi="Arial" w:cs="Arial"/>
          <w:b/>
          <w:sz w:val="22"/>
          <w:szCs w:val="22"/>
        </w:rPr>
      </w:pPr>
    </w:p>
    <w:p w:rsidR="00D34A9F" w:rsidRPr="00D34A9F" w:rsidRDefault="00D34A9F" w:rsidP="00D34A9F">
      <w:pPr>
        <w:rPr>
          <w:rFonts w:ascii="Arial" w:hAnsi="Arial" w:cs="Arial"/>
          <w:b/>
          <w:sz w:val="22"/>
          <w:szCs w:val="22"/>
        </w:rPr>
      </w:pPr>
    </w:p>
    <w:p w:rsidR="00D34A9F" w:rsidRPr="00D34A9F" w:rsidRDefault="00D34A9F" w:rsidP="00D34A9F">
      <w:pPr>
        <w:rPr>
          <w:rFonts w:ascii="Arial" w:hAnsi="Arial" w:cs="Arial"/>
          <w:b/>
          <w:sz w:val="22"/>
          <w:szCs w:val="22"/>
        </w:rPr>
      </w:pPr>
    </w:p>
    <w:p w:rsidR="00D34A9F" w:rsidRPr="00D34A9F" w:rsidRDefault="00D34A9F" w:rsidP="00D34A9F">
      <w:pPr>
        <w:rPr>
          <w:rFonts w:ascii="Arial" w:hAnsi="Arial" w:cs="Arial"/>
          <w:b/>
          <w:sz w:val="22"/>
          <w:szCs w:val="22"/>
        </w:rPr>
      </w:pPr>
    </w:p>
    <w:p w:rsidR="00D34A9F" w:rsidRPr="00D34A9F" w:rsidRDefault="00D34A9F" w:rsidP="00D34A9F">
      <w:pPr>
        <w:rPr>
          <w:rFonts w:ascii="Arial" w:hAnsi="Arial" w:cs="Arial"/>
          <w:b/>
          <w:sz w:val="22"/>
          <w:szCs w:val="22"/>
        </w:rPr>
      </w:pPr>
    </w:p>
    <w:p w:rsidR="00D34A9F" w:rsidRPr="00D34A9F" w:rsidRDefault="00D34A9F" w:rsidP="00D34A9F">
      <w:pPr>
        <w:rPr>
          <w:rFonts w:ascii="Arial" w:hAnsi="Arial" w:cs="Arial"/>
          <w:b/>
          <w:sz w:val="22"/>
          <w:szCs w:val="22"/>
        </w:rPr>
      </w:pPr>
      <w:r w:rsidRPr="00D34A9F">
        <w:rPr>
          <w:rFonts w:ascii="Arial" w:hAnsi="Arial" w:cs="Arial"/>
          <w:b/>
          <w:sz w:val="22"/>
          <w:szCs w:val="22"/>
        </w:rPr>
        <w:t>Załączniki:</w:t>
      </w:r>
    </w:p>
    <w:p w:rsidR="00D34A9F" w:rsidRPr="00D34A9F" w:rsidRDefault="00D34A9F" w:rsidP="00D34A9F">
      <w:pPr>
        <w:rPr>
          <w:rFonts w:ascii="Arial" w:hAnsi="Arial" w:cs="Arial"/>
          <w:sz w:val="22"/>
          <w:szCs w:val="22"/>
        </w:rPr>
      </w:pPr>
      <w:r w:rsidRPr="00D34A9F">
        <w:rPr>
          <w:rFonts w:ascii="Arial" w:hAnsi="Arial" w:cs="Arial"/>
          <w:sz w:val="22"/>
          <w:szCs w:val="22"/>
        </w:rPr>
        <w:t xml:space="preserve">Charakterystyka planowanego przedsięwzięcia </w:t>
      </w:r>
    </w:p>
    <w:p w:rsidR="00D34A9F" w:rsidRPr="00D34A9F" w:rsidRDefault="00D34A9F" w:rsidP="00D34A9F">
      <w:pPr>
        <w:rPr>
          <w:rFonts w:ascii="Arial" w:hAnsi="Arial" w:cs="Arial"/>
          <w:b/>
          <w:sz w:val="22"/>
          <w:szCs w:val="22"/>
        </w:rPr>
      </w:pPr>
    </w:p>
    <w:p w:rsidR="00D34A9F" w:rsidRPr="00D34A9F" w:rsidRDefault="00D34A9F" w:rsidP="00D34A9F">
      <w:pPr>
        <w:rPr>
          <w:rFonts w:ascii="Arial" w:hAnsi="Arial" w:cs="Arial"/>
          <w:sz w:val="22"/>
          <w:szCs w:val="22"/>
        </w:rPr>
      </w:pPr>
      <w:r w:rsidRPr="00D34A9F">
        <w:rPr>
          <w:rFonts w:ascii="Arial" w:hAnsi="Arial" w:cs="Arial"/>
          <w:b/>
          <w:sz w:val="22"/>
          <w:szCs w:val="22"/>
        </w:rPr>
        <w:t>Otrzymują:</w:t>
      </w:r>
    </w:p>
    <w:p w:rsidR="00D34A9F" w:rsidRPr="00D34A9F" w:rsidRDefault="00D34A9F" w:rsidP="00D34A9F">
      <w:pPr>
        <w:rPr>
          <w:rFonts w:ascii="Arial" w:hAnsi="Arial" w:cs="Arial"/>
          <w:color w:val="333333"/>
          <w:sz w:val="22"/>
          <w:szCs w:val="22"/>
        </w:rPr>
      </w:pPr>
      <w:r w:rsidRPr="00D34A9F">
        <w:rPr>
          <w:rFonts w:ascii="Arial" w:hAnsi="Arial" w:cs="Arial"/>
          <w:color w:val="333333"/>
          <w:sz w:val="22"/>
          <w:szCs w:val="22"/>
        </w:rPr>
        <w:t>PPPolymers Sp.  z o.o. ul. Ikara 5, 64-100 Strzyżewice</w:t>
      </w:r>
    </w:p>
    <w:p w:rsidR="00D34A9F" w:rsidRPr="00D34A9F" w:rsidRDefault="00D34A9F" w:rsidP="00D34A9F">
      <w:pPr>
        <w:rPr>
          <w:rFonts w:ascii="Arial" w:hAnsi="Arial" w:cs="Arial"/>
          <w:color w:val="333333"/>
          <w:sz w:val="22"/>
          <w:szCs w:val="22"/>
        </w:rPr>
      </w:pPr>
      <w:r w:rsidRPr="00D34A9F">
        <w:rPr>
          <w:rFonts w:ascii="Arial" w:hAnsi="Arial" w:cs="Arial"/>
          <w:color w:val="333333"/>
          <w:sz w:val="22"/>
          <w:szCs w:val="22"/>
        </w:rPr>
        <w:t>Gmina Miasto Włocławek</w:t>
      </w:r>
    </w:p>
    <w:p w:rsidR="00D34A9F" w:rsidRPr="00D34A9F" w:rsidRDefault="00D34A9F" w:rsidP="00D34A9F">
      <w:pPr>
        <w:rPr>
          <w:rFonts w:ascii="Arial" w:hAnsi="Arial" w:cs="Arial"/>
          <w:color w:val="333333"/>
          <w:sz w:val="22"/>
          <w:szCs w:val="22"/>
        </w:rPr>
      </w:pPr>
      <w:r w:rsidRPr="00D34A9F">
        <w:rPr>
          <w:rFonts w:ascii="Arial" w:hAnsi="Arial" w:cs="Arial"/>
          <w:color w:val="333333"/>
          <w:sz w:val="22"/>
          <w:szCs w:val="22"/>
        </w:rPr>
        <w:t xml:space="preserve">Państwo Jadwiga i Jan Baran </w:t>
      </w:r>
    </w:p>
    <w:p w:rsidR="00D34A9F" w:rsidRPr="00D34A9F" w:rsidRDefault="00D34A9F" w:rsidP="00D34A9F">
      <w:pPr>
        <w:rPr>
          <w:rFonts w:ascii="Arial" w:hAnsi="Arial" w:cs="Arial"/>
          <w:sz w:val="22"/>
          <w:szCs w:val="22"/>
        </w:rPr>
      </w:pPr>
    </w:p>
    <w:p w:rsidR="00D34A9F" w:rsidRPr="00D34A9F" w:rsidRDefault="00D34A9F" w:rsidP="00D34A9F">
      <w:pPr>
        <w:rPr>
          <w:rFonts w:ascii="Arial" w:hAnsi="Arial" w:cs="Arial"/>
          <w:sz w:val="22"/>
          <w:szCs w:val="22"/>
        </w:rPr>
      </w:pPr>
      <w:r w:rsidRPr="00D34A9F">
        <w:rPr>
          <w:rFonts w:ascii="Arial" w:hAnsi="Arial" w:cs="Arial"/>
          <w:b/>
          <w:sz w:val="22"/>
          <w:szCs w:val="22"/>
        </w:rPr>
        <w:t>Do wiadomości:</w:t>
      </w:r>
    </w:p>
    <w:p w:rsidR="00D34A9F" w:rsidRPr="00D34A9F" w:rsidRDefault="00D34A9F" w:rsidP="00D34A9F">
      <w:pPr>
        <w:rPr>
          <w:rFonts w:ascii="Arial" w:hAnsi="Arial" w:cs="Arial"/>
          <w:sz w:val="22"/>
          <w:szCs w:val="22"/>
        </w:rPr>
      </w:pPr>
      <w:r w:rsidRPr="00D34A9F">
        <w:rPr>
          <w:rFonts w:ascii="Arial" w:hAnsi="Arial" w:cs="Arial"/>
          <w:sz w:val="22"/>
          <w:szCs w:val="22"/>
        </w:rPr>
        <w:t>Regionalny Dyrektor Ochrony Środowiska w Bydgoszczy</w:t>
      </w:r>
    </w:p>
    <w:p w:rsidR="00D34A9F" w:rsidRPr="00D34A9F" w:rsidRDefault="00D34A9F" w:rsidP="00D34A9F">
      <w:pPr>
        <w:rPr>
          <w:rFonts w:ascii="Arial" w:hAnsi="Arial" w:cs="Arial"/>
          <w:sz w:val="22"/>
          <w:szCs w:val="22"/>
        </w:rPr>
      </w:pPr>
      <w:r w:rsidRPr="00D34A9F">
        <w:rPr>
          <w:rFonts w:ascii="Arial" w:hAnsi="Arial" w:cs="Arial"/>
          <w:sz w:val="22"/>
          <w:szCs w:val="22"/>
        </w:rPr>
        <w:t xml:space="preserve">Państwowy Powiatowy Inspektor Sanitarny we Włocławku </w:t>
      </w:r>
    </w:p>
    <w:p w:rsidR="00D34A9F" w:rsidRPr="00D34A9F" w:rsidRDefault="00D34A9F" w:rsidP="00D34A9F">
      <w:pPr>
        <w:rPr>
          <w:rFonts w:ascii="Arial" w:hAnsi="Arial" w:cs="Arial"/>
          <w:sz w:val="22"/>
          <w:szCs w:val="22"/>
        </w:rPr>
      </w:pPr>
      <w:r w:rsidRPr="00D34A9F">
        <w:rPr>
          <w:rFonts w:ascii="Arial" w:hAnsi="Arial" w:cs="Arial"/>
          <w:sz w:val="22"/>
          <w:szCs w:val="22"/>
        </w:rPr>
        <w:t xml:space="preserve">Marszałek Województwa Kujawsko-Pomorskiego w Toruniu </w:t>
      </w:r>
    </w:p>
    <w:p w:rsidR="00D34A9F" w:rsidRPr="00D34A9F" w:rsidRDefault="00D34A9F" w:rsidP="00D34A9F">
      <w:pPr>
        <w:rPr>
          <w:rFonts w:ascii="Arial" w:hAnsi="Arial" w:cs="Arial"/>
          <w:sz w:val="22"/>
          <w:szCs w:val="22"/>
        </w:rPr>
      </w:pPr>
      <w:r w:rsidRPr="00D34A9F">
        <w:rPr>
          <w:rFonts w:ascii="Arial" w:hAnsi="Arial" w:cs="Arial"/>
          <w:sz w:val="22"/>
          <w:szCs w:val="22"/>
        </w:rPr>
        <w:t xml:space="preserve">Państwowe Gospodarstwo Wodne Wody Polskie, RZWG  w Gdańsku </w:t>
      </w:r>
    </w:p>
    <w:p w:rsidR="00D34A9F" w:rsidRPr="00D34A9F" w:rsidRDefault="00D34A9F" w:rsidP="00D34A9F">
      <w:pPr>
        <w:rPr>
          <w:rFonts w:ascii="Arial" w:hAnsi="Arial" w:cs="Arial"/>
          <w:sz w:val="22"/>
          <w:szCs w:val="22"/>
        </w:rPr>
      </w:pPr>
      <w:r w:rsidRPr="00D34A9F">
        <w:rPr>
          <w:rFonts w:ascii="Arial" w:hAnsi="Arial" w:cs="Arial"/>
          <w:sz w:val="22"/>
          <w:szCs w:val="22"/>
        </w:rPr>
        <w:t xml:space="preserve">a/a A.P. </w:t>
      </w: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5367E3" w:rsidRDefault="005367E3" w:rsidP="00D34A9F">
      <w:pPr>
        <w:rPr>
          <w:rFonts w:ascii="Arial" w:hAnsi="Arial" w:cs="Arial"/>
          <w:sz w:val="16"/>
          <w:szCs w:val="16"/>
        </w:rPr>
      </w:pPr>
    </w:p>
    <w:p w:rsidR="00D34A9F" w:rsidRPr="00D34A9F" w:rsidRDefault="00D34A9F" w:rsidP="00D34A9F">
      <w:pPr>
        <w:rPr>
          <w:rFonts w:ascii="Arial" w:hAnsi="Arial" w:cs="Arial"/>
        </w:rPr>
      </w:pPr>
      <w:r w:rsidRPr="00D34A9F">
        <w:rPr>
          <w:rFonts w:ascii="Arial" w:hAnsi="Arial" w:cs="Arial"/>
        </w:rPr>
        <w:lastRenderedPageBreak/>
        <w:t xml:space="preserve">Włocławek, 4 lutego 2022  r.               </w:t>
      </w:r>
    </w:p>
    <w:p w:rsidR="00D34A9F" w:rsidRPr="00D34A9F" w:rsidRDefault="00D34A9F" w:rsidP="00D34A9F">
      <w:pPr>
        <w:rPr>
          <w:rFonts w:ascii="Arial" w:hAnsi="Arial" w:cs="Arial"/>
        </w:rPr>
      </w:pPr>
      <w:r w:rsidRPr="00D34A9F">
        <w:rPr>
          <w:rFonts w:ascii="Arial" w:hAnsi="Arial" w:cs="Arial"/>
        </w:rPr>
        <w:t xml:space="preserve"> </w:t>
      </w:r>
    </w:p>
    <w:p w:rsidR="00D34A9F" w:rsidRPr="00D34A9F" w:rsidRDefault="00D34A9F" w:rsidP="00D34A9F">
      <w:pPr>
        <w:rPr>
          <w:rFonts w:ascii="Arial" w:hAnsi="Arial" w:cs="Arial"/>
        </w:rPr>
      </w:pPr>
      <w:r w:rsidRPr="00D34A9F">
        <w:rPr>
          <w:rFonts w:ascii="Arial" w:hAnsi="Arial" w:cs="Arial"/>
        </w:rPr>
        <w:t xml:space="preserve">Załącznik do decyzji Prezydenta Miasta Włocławek z dnia 04.02.2022 r. znak: S.6220.21.2019 o środowiskowych uwarunkowaniach dla przedsięwzięcia pn. </w:t>
      </w:r>
      <w:r w:rsidRPr="00D34A9F">
        <w:rPr>
          <w:rFonts w:ascii="Arial" w:hAnsi="Arial" w:cs="Arial"/>
          <w:b/>
        </w:rPr>
        <w:t>„Budowa instalacji do produkcji klejów przemysłowych oraz wodnych dyspersji polimerów i kopolimerów winylowych oraz akrylowych we Włocławku, przy ul. Zalesie  na działce nr ew. 4/35”</w:t>
      </w:r>
    </w:p>
    <w:p w:rsidR="00D34A9F" w:rsidRPr="00D34A9F" w:rsidRDefault="00D34A9F" w:rsidP="00D34A9F">
      <w:pPr>
        <w:rPr>
          <w:rFonts w:ascii="Arial" w:hAnsi="Arial" w:cs="Arial"/>
        </w:rPr>
      </w:pPr>
    </w:p>
    <w:p w:rsidR="00D34A9F" w:rsidRPr="00D34A9F" w:rsidRDefault="00D34A9F" w:rsidP="00D34A9F">
      <w:pPr>
        <w:rPr>
          <w:rFonts w:ascii="Arial" w:hAnsi="Arial" w:cs="Arial"/>
        </w:rPr>
      </w:pPr>
    </w:p>
    <w:p w:rsidR="00D34A9F" w:rsidRPr="00D34A9F" w:rsidRDefault="00D34A9F" w:rsidP="00D34A9F">
      <w:pPr>
        <w:rPr>
          <w:rFonts w:ascii="Arial" w:hAnsi="Arial" w:cs="Arial"/>
          <w:b/>
        </w:rPr>
      </w:pPr>
      <w:r w:rsidRPr="00D34A9F">
        <w:rPr>
          <w:rFonts w:ascii="Arial" w:hAnsi="Arial" w:cs="Arial"/>
          <w:b/>
        </w:rPr>
        <w:t>Charakterystyka przedsięwzięcia</w:t>
      </w:r>
    </w:p>
    <w:p w:rsidR="00D34A9F" w:rsidRPr="00D34A9F" w:rsidRDefault="00D34A9F" w:rsidP="00D34A9F">
      <w:pPr>
        <w:rPr>
          <w:rFonts w:ascii="Arial" w:hAnsi="Arial" w:cs="Arial"/>
          <w:b/>
        </w:rPr>
      </w:pPr>
    </w:p>
    <w:p w:rsidR="00D34A9F" w:rsidRPr="00D34A9F" w:rsidRDefault="00D34A9F" w:rsidP="00D34A9F">
      <w:pPr>
        <w:pStyle w:val="Standard"/>
        <w:rPr>
          <w:rFonts w:ascii="Arial" w:hAnsi="Arial" w:cs="Arial"/>
          <w:szCs w:val="24"/>
        </w:rPr>
      </w:pPr>
      <w:r w:rsidRPr="00D34A9F">
        <w:rPr>
          <w:rFonts w:ascii="Arial" w:hAnsi="Arial" w:cs="Arial"/>
        </w:rPr>
        <w:t xml:space="preserve">Planowane przedsięwzięcie realizowane będzie </w:t>
      </w:r>
      <w:r w:rsidRPr="00D34A9F">
        <w:rPr>
          <w:rFonts w:ascii="Arial" w:hAnsi="Arial" w:cs="Arial"/>
          <w:szCs w:val="24"/>
        </w:rPr>
        <w:t>wewnątrz obszaru Włocławskiej Strefy Rozwoju Gospodarczego – Parku Przemysłowo-Technologicznego” obręb 0004 Kawka, przy ul. Zalesie, na działce nr 4/35 w miejscowości Włocławek, powiat Miasto Włocławek, województwo kujawsko-pomorskie. Budowa instalacji planowana jest na działce nr 4/35 o powierzchni 3,1167 ha.</w:t>
      </w:r>
    </w:p>
    <w:p w:rsidR="00D34A9F" w:rsidRPr="00D34A9F" w:rsidRDefault="00D34A9F" w:rsidP="00D34A9F">
      <w:pPr>
        <w:pStyle w:val="Standard"/>
        <w:rPr>
          <w:rFonts w:ascii="Arial" w:hAnsi="Arial" w:cs="Arial"/>
          <w:szCs w:val="24"/>
        </w:rPr>
      </w:pPr>
    </w:p>
    <w:p w:rsidR="00D34A9F" w:rsidRPr="00D34A9F" w:rsidRDefault="00D34A9F" w:rsidP="00D34A9F">
      <w:pPr>
        <w:pStyle w:val="Standard"/>
        <w:rPr>
          <w:rFonts w:ascii="Arial" w:hAnsi="Arial" w:cs="Arial"/>
        </w:rPr>
      </w:pP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Przedsięwzięcie, którego realizację planuje się przeprowadzić polega na budowie instalacji do produkcji wodnych dyspersji polimerów i kopolimerów winylowych i akrylowych oraz klejów na bazie wodnych dyspersji poli(octanu winylu). Wyroby będą wytwarzane w trzech powiązanych ze sobą układach technologicznych instalacji, zwanych działami produkcyjnymi P-1, P-2 i P-3. </w:t>
      </w:r>
    </w:p>
    <w:p w:rsidR="00D34A9F" w:rsidRPr="00D34A9F" w:rsidRDefault="00D34A9F" w:rsidP="00D34A9F">
      <w:pPr>
        <w:autoSpaceDE w:val="0"/>
        <w:autoSpaceDN w:val="0"/>
        <w:adjustRightInd w:val="0"/>
        <w:rPr>
          <w:rFonts w:ascii="Arial" w:eastAsia="Calibri" w:hAnsi="Arial" w:cs="Arial"/>
          <w:color w:val="000000"/>
        </w:rPr>
      </w:pP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Dział P-1 obejmować będzie produkcję wodnych dyspersji polimerów i kopolimerów winylowych (zdolność produkcyjna 28 000 Mg/rok) oraz wodnych dyspersji polimerów i kopolimerów akrylowych (zdolność produkcyjna 9 400 Mg/rok). </w:t>
      </w:r>
    </w:p>
    <w:p w:rsidR="00D34A9F" w:rsidRPr="00D34A9F" w:rsidRDefault="00D34A9F" w:rsidP="00D34A9F">
      <w:pPr>
        <w:autoSpaceDE w:val="0"/>
        <w:autoSpaceDN w:val="0"/>
        <w:adjustRightInd w:val="0"/>
        <w:rPr>
          <w:rFonts w:ascii="Arial" w:eastAsia="Calibri" w:hAnsi="Arial" w:cs="Arial"/>
          <w:color w:val="000000"/>
        </w:rPr>
      </w:pP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Dział P-2 to układ technologiczny do produkcji klejów na bazie wodnych dyspersji poli(octanu winylu) (zdolność produkcyjna 40 000 Mg/rok). </w:t>
      </w:r>
    </w:p>
    <w:p w:rsidR="00D34A9F" w:rsidRPr="00D34A9F" w:rsidRDefault="00D34A9F" w:rsidP="00D34A9F">
      <w:pPr>
        <w:autoSpaceDE w:val="0"/>
        <w:autoSpaceDN w:val="0"/>
        <w:adjustRightInd w:val="0"/>
        <w:rPr>
          <w:rFonts w:ascii="Arial" w:eastAsia="Calibri" w:hAnsi="Arial" w:cs="Arial"/>
          <w:color w:val="000000"/>
        </w:rPr>
      </w:pP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Dział P-3 obejmować będzie produkcję wodnych dyspersji polimerów i kopolimerów winylowych (zdolność produkcyjna 38 500 Mg/rok). </w:t>
      </w:r>
    </w:p>
    <w:p w:rsidR="00D34A9F" w:rsidRPr="00D34A9F" w:rsidRDefault="00D34A9F" w:rsidP="00D34A9F">
      <w:pPr>
        <w:autoSpaceDE w:val="0"/>
        <w:autoSpaceDN w:val="0"/>
        <w:adjustRightInd w:val="0"/>
        <w:rPr>
          <w:rFonts w:ascii="Arial" w:eastAsia="Calibri" w:hAnsi="Arial" w:cs="Arial"/>
          <w:color w:val="000000"/>
        </w:rPr>
      </w:pP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Oprócz części produkcyjnej obiektami towarzyszącymi będą: </w:t>
      </w: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 zbiorniki magazynowe na surowce i wyroby gotowe (31 zbiorników podziemnych i naziemnych </w:t>
      </w:r>
      <w:r w:rsidRPr="00D34A9F">
        <w:rPr>
          <w:rFonts w:ascii="Arial" w:eastAsia="Calibri" w:hAnsi="Arial" w:cs="Arial"/>
          <w:color w:val="000000"/>
        </w:rPr>
        <w:br/>
        <w:t xml:space="preserve">o łącznej pojemności 1640 Mg), </w:t>
      </w: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 kotłownia z trzema kotłami o sumarycznej mocy cieplnej 3 450 kW: </w:t>
      </w:r>
    </w:p>
    <w:p w:rsidR="00D34A9F" w:rsidRPr="00D34A9F" w:rsidRDefault="00D34A9F" w:rsidP="00D34A9F">
      <w:pPr>
        <w:numPr>
          <w:ilvl w:val="0"/>
          <w:numId w:val="39"/>
        </w:numPr>
        <w:autoSpaceDE w:val="0"/>
        <w:autoSpaceDN w:val="0"/>
        <w:adjustRightInd w:val="0"/>
        <w:rPr>
          <w:rFonts w:ascii="Arial" w:eastAsia="Calibri" w:hAnsi="Arial" w:cs="Arial"/>
          <w:color w:val="000000"/>
        </w:rPr>
      </w:pPr>
      <w:r w:rsidRPr="00D34A9F">
        <w:rPr>
          <w:rFonts w:ascii="Arial" w:eastAsia="Calibri" w:hAnsi="Arial" w:cs="Arial"/>
          <w:color w:val="000000"/>
        </w:rPr>
        <w:t xml:space="preserve">kocioł C.O. VIESSMANN o nominalnej mocy cieplnej 200 kW, </w:t>
      </w:r>
    </w:p>
    <w:p w:rsidR="00D34A9F" w:rsidRPr="00D34A9F" w:rsidRDefault="00D34A9F" w:rsidP="00D34A9F">
      <w:pPr>
        <w:numPr>
          <w:ilvl w:val="0"/>
          <w:numId w:val="39"/>
        </w:numPr>
        <w:autoSpaceDE w:val="0"/>
        <w:autoSpaceDN w:val="0"/>
        <w:adjustRightInd w:val="0"/>
        <w:rPr>
          <w:rFonts w:ascii="Arial" w:eastAsia="Calibri" w:hAnsi="Arial" w:cs="Arial"/>
          <w:color w:val="000000"/>
        </w:rPr>
      </w:pPr>
      <w:r w:rsidRPr="00D34A9F">
        <w:rPr>
          <w:rFonts w:ascii="Arial" w:eastAsia="Calibri" w:hAnsi="Arial" w:cs="Arial"/>
          <w:color w:val="000000"/>
        </w:rPr>
        <w:t xml:space="preserve">kocioł parowy BOSCH typ UL-S 3000 o nominalnej mocy cieplnej 1950 kW, </w:t>
      </w:r>
    </w:p>
    <w:p w:rsidR="00D34A9F" w:rsidRPr="00D34A9F" w:rsidRDefault="00D34A9F" w:rsidP="00D34A9F">
      <w:pPr>
        <w:numPr>
          <w:ilvl w:val="0"/>
          <w:numId w:val="39"/>
        </w:numPr>
        <w:autoSpaceDE w:val="0"/>
        <w:autoSpaceDN w:val="0"/>
        <w:adjustRightInd w:val="0"/>
        <w:rPr>
          <w:rFonts w:ascii="Arial" w:eastAsia="Calibri" w:hAnsi="Arial" w:cs="Arial"/>
          <w:color w:val="000000"/>
        </w:rPr>
      </w:pPr>
      <w:r w:rsidRPr="00D34A9F">
        <w:rPr>
          <w:rFonts w:ascii="Arial" w:eastAsia="Calibri" w:hAnsi="Arial" w:cs="Arial"/>
          <w:color w:val="000000"/>
        </w:rPr>
        <w:t xml:space="preserve">kocioł parowy Bosch typ UL-S 2000 o nominalnej mocy cieplnej 1300 kW, </w:t>
      </w: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 podczyszczalnia ścieków o przepustowości 52 000 m3/rok, </w:t>
      </w: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 stacja uzdatniania wody o wydajności 10 m3/h, </w:t>
      </w: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 laboratorium jakościowe, </w:t>
      </w:r>
    </w:p>
    <w:p w:rsidR="00D34A9F" w:rsidRPr="00D34A9F" w:rsidRDefault="00D34A9F" w:rsidP="00D34A9F">
      <w:pPr>
        <w:pStyle w:val="Default"/>
      </w:pPr>
      <w:r w:rsidRPr="00D34A9F">
        <w:t xml:space="preserve">- myjnia mobilnych elementów instalacji np. filtrów wykorzystywanych przy załadunku produktów oraz opakowań wielokrotnego użytku, </w:t>
      </w: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 magazyn części zamiennych, </w:t>
      </w:r>
    </w:p>
    <w:p w:rsidR="00D34A9F" w:rsidRPr="00D34A9F" w:rsidRDefault="00D34A9F" w:rsidP="00D34A9F">
      <w:pPr>
        <w:pStyle w:val="Standard"/>
        <w:rPr>
          <w:rFonts w:ascii="Arial" w:hAnsi="Arial" w:cs="Arial"/>
          <w:color w:val="000000"/>
          <w:szCs w:val="24"/>
        </w:rPr>
      </w:pPr>
      <w:r w:rsidRPr="00D34A9F">
        <w:rPr>
          <w:rFonts w:ascii="Arial" w:hAnsi="Arial" w:cs="Arial"/>
          <w:color w:val="000000"/>
          <w:szCs w:val="24"/>
        </w:rPr>
        <w:t>- warsztat,</w:t>
      </w:r>
    </w:p>
    <w:p w:rsidR="00D34A9F" w:rsidRPr="00D34A9F" w:rsidRDefault="00D34A9F" w:rsidP="00D34A9F">
      <w:pPr>
        <w:rPr>
          <w:rFonts w:ascii="Arial" w:hAnsi="Arial" w:cs="Arial"/>
        </w:rPr>
      </w:pPr>
      <w:r w:rsidRPr="00D34A9F">
        <w:rPr>
          <w:rFonts w:ascii="Arial" w:hAnsi="Arial" w:cs="Arial"/>
        </w:rPr>
        <w:t>- przepompownia monomerów,</w:t>
      </w:r>
    </w:p>
    <w:p w:rsidR="00D34A9F" w:rsidRPr="00D34A9F" w:rsidRDefault="00D34A9F" w:rsidP="00D34A9F">
      <w:pPr>
        <w:rPr>
          <w:rFonts w:ascii="Arial" w:hAnsi="Arial" w:cs="Arial"/>
        </w:rPr>
      </w:pPr>
      <w:r w:rsidRPr="00D34A9F">
        <w:rPr>
          <w:rFonts w:ascii="Arial" w:hAnsi="Arial" w:cs="Arial"/>
        </w:rPr>
        <w:lastRenderedPageBreak/>
        <w:t>- wiata na czasowe gromadzenie odpadów,</w:t>
      </w:r>
    </w:p>
    <w:p w:rsidR="00D34A9F" w:rsidRPr="00D34A9F" w:rsidRDefault="00D34A9F" w:rsidP="00D34A9F">
      <w:pPr>
        <w:rPr>
          <w:rFonts w:ascii="Arial" w:hAnsi="Arial" w:cs="Arial"/>
        </w:rPr>
      </w:pPr>
      <w:r w:rsidRPr="00D34A9F">
        <w:rPr>
          <w:rFonts w:ascii="Arial" w:hAnsi="Arial" w:cs="Arial"/>
        </w:rPr>
        <w:t>- chłodnie wentylatorowe,</w:t>
      </w:r>
    </w:p>
    <w:p w:rsidR="00D34A9F" w:rsidRPr="00D34A9F" w:rsidRDefault="00D34A9F" w:rsidP="00D34A9F">
      <w:pPr>
        <w:rPr>
          <w:rFonts w:ascii="Arial" w:hAnsi="Arial" w:cs="Arial"/>
        </w:rPr>
      </w:pPr>
      <w:r w:rsidRPr="00D34A9F">
        <w:rPr>
          <w:rFonts w:ascii="Arial" w:hAnsi="Arial" w:cs="Arial"/>
        </w:rPr>
        <w:t>- magazyn surowców oraz wyrobów gotowych,</w:t>
      </w:r>
    </w:p>
    <w:p w:rsidR="00D34A9F" w:rsidRPr="00D34A9F" w:rsidRDefault="00D34A9F" w:rsidP="00D34A9F">
      <w:pPr>
        <w:rPr>
          <w:rFonts w:ascii="Arial" w:hAnsi="Arial" w:cs="Arial"/>
        </w:rPr>
      </w:pPr>
      <w:r w:rsidRPr="00D34A9F">
        <w:rPr>
          <w:rFonts w:ascii="Arial" w:hAnsi="Arial" w:cs="Arial"/>
        </w:rPr>
        <w:t>- waga samochodowa,</w:t>
      </w:r>
    </w:p>
    <w:p w:rsidR="00D34A9F" w:rsidRPr="00D34A9F" w:rsidRDefault="00D34A9F" w:rsidP="00D34A9F">
      <w:pPr>
        <w:rPr>
          <w:rFonts w:ascii="Arial" w:hAnsi="Arial" w:cs="Arial"/>
        </w:rPr>
      </w:pPr>
      <w:r w:rsidRPr="00D34A9F">
        <w:rPr>
          <w:rFonts w:ascii="Arial" w:hAnsi="Arial" w:cs="Arial"/>
        </w:rPr>
        <w:t>- agregat,</w:t>
      </w:r>
    </w:p>
    <w:p w:rsidR="00D34A9F" w:rsidRPr="00D34A9F" w:rsidRDefault="00D34A9F" w:rsidP="00D34A9F">
      <w:pPr>
        <w:rPr>
          <w:rFonts w:ascii="Arial" w:hAnsi="Arial" w:cs="Arial"/>
        </w:rPr>
      </w:pPr>
      <w:r w:rsidRPr="00D34A9F">
        <w:rPr>
          <w:rFonts w:ascii="Arial" w:hAnsi="Arial" w:cs="Arial"/>
        </w:rPr>
        <w:t>- stróżówka.</w:t>
      </w:r>
    </w:p>
    <w:p w:rsidR="00D34A9F" w:rsidRPr="00D34A9F" w:rsidRDefault="00D34A9F" w:rsidP="00D34A9F">
      <w:pPr>
        <w:pStyle w:val="Standard"/>
        <w:rPr>
          <w:rFonts w:ascii="Arial" w:hAnsi="Arial" w:cs="Arial"/>
          <w:szCs w:val="24"/>
        </w:rPr>
      </w:pP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W Dziale P-1 prowadzona będzie produkcja wodnych dyspersji polimerów i kopolimerów octanu winylu oraz wodnych dyspersji polimerów i kopolimerów akrylowych metodą polimeryzacji emulsyjnej. </w:t>
      </w:r>
    </w:p>
    <w:p w:rsidR="00D34A9F" w:rsidRPr="00D34A9F" w:rsidRDefault="00D34A9F" w:rsidP="00D34A9F">
      <w:pPr>
        <w:autoSpaceDE w:val="0"/>
        <w:autoSpaceDN w:val="0"/>
        <w:adjustRightInd w:val="0"/>
        <w:rPr>
          <w:rFonts w:ascii="Arial" w:eastAsia="Calibri" w:hAnsi="Arial" w:cs="Arial"/>
          <w:color w:val="000000"/>
        </w:rPr>
      </w:pPr>
      <w:r w:rsidRPr="00D34A9F">
        <w:rPr>
          <w:rFonts w:ascii="Arial" w:eastAsia="Calibri" w:hAnsi="Arial" w:cs="Arial"/>
          <w:color w:val="000000"/>
        </w:rPr>
        <w:t xml:space="preserve">Proces produkcyjny wodnych dyspersji polimerów i kopolimerów octanu winylu prowadzony będzie w układzie zamkniętym metodą okresową. </w:t>
      </w:r>
    </w:p>
    <w:p w:rsidR="00D34A9F" w:rsidRPr="00D34A9F" w:rsidRDefault="00D34A9F" w:rsidP="00D34A9F">
      <w:pPr>
        <w:pStyle w:val="Standard"/>
        <w:rPr>
          <w:rStyle w:val="markedcontent"/>
          <w:rFonts w:ascii="Arial" w:hAnsi="Arial" w:cs="Arial"/>
        </w:rPr>
      </w:pPr>
      <w:r w:rsidRPr="00D34A9F">
        <w:rPr>
          <w:rStyle w:val="markedcontent"/>
          <w:rFonts w:ascii="Arial" w:hAnsi="Arial" w:cs="Arial"/>
        </w:rPr>
        <w:t>Proces produkcyjny wodnych dyspersji polimerów i kopolimerów octanu winylu będzie prowadzony</w:t>
      </w:r>
      <w:r w:rsidR="005367E3">
        <w:rPr>
          <w:rFonts w:ascii="Arial" w:hAnsi="Arial" w:cs="Arial"/>
          <w:szCs w:val="24"/>
        </w:rPr>
        <w:t xml:space="preserve"> </w:t>
      </w:r>
      <w:r w:rsidRPr="00D34A9F">
        <w:rPr>
          <w:rStyle w:val="markedcontent"/>
          <w:rFonts w:ascii="Arial" w:hAnsi="Arial" w:cs="Arial"/>
        </w:rPr>
        <w:t>w układzie zamkniętym metodą okresową. Po zakończonym procesie technologicznym reaktor będzie myty</w:t>
      </w:r>
      <w:r w:rsidRPr="00D34A9F">
        <w:rPr>
          <w:rFonts w:ascii="Arial" w:hAnsi="Arial" w:cs="Arial"/>
          <w:szCs w:val="24"/>
        </w:rPr>
        <w:t xml:space="preserve"> </w:t>
      </w:r>
      <w:r w:rsidRPr="00D34A9F">
        <w:rPr>
          <w:rStyle w:val="markedcontent"/>
          <w:rFonts w:ascii="Arial" w:hAnsi="Arial" w:cs="Arial"/>
        </w:rPr>
        <w:t xml:space="preserve">i przygotowywany do kolejnego procesu. Mycie reaktorów podzielone jest na dwa etapy. </w:t>
      </w:r>
      <w:r w:rsidRPr="00D34A9F">
        <w:rPr>
          <w:rStyle w:val="markedcontent"/>
          <w:rFonts w:ascii="Arial" w:hAnsi="Arial" w:cs="Arial"/>
        </w:rPr>
        <w:br/>
        <w:t>W pierwszym etapie rozcieńczona dyspersja z mycia reaktorów jest odzyskiwana i zbierana w zbiorniku, z którego jest przesyłana na dział P-2 i wykorzystywana w procesie produkcji klejów na bazie wodnych dyspersji</w:t>
      </w:r>
      <w:r w:rsidRPr="00D34A9F">
        <w:rPr>
          <w:rFonts w:ascii="Arial" w:hAnsi="Arial" w:cs="Arial"/>
          <w:szCs w:val="24"/>
        </w:rPr>
        <w:t xml:space="preserve"> </w:t>
      </w:r>
      <w:r w:rsidRPr="00D34A9F">
        <w:rPr>
          <w:rStyle w:val="markedcontent"/>
          <w:rFonts w:ascii="Arial" w:hAnsi="Arial" w:cs="Arial"/>
        </w:rPr>
        <w:t>poli(octanu winylu). W drugim etapie woda z mycia reaktorów trafia do zakładowej podczyszczalni ścieków.</w:t>
      </w:r>
    </w:p>
    <w:p w:rsidR="00D34A9F" w:rsidRPr="00D34A9F" w:rsidRDefault="00D34A9F" w:rsidP="00D34A9F">
      <w:pPr>
        <w:pStyle w:val="Standard"/>
        <w:rPr>
          <w:rStyle w:val="markedcontent"/>
          <w:rFonts w:ascii="Arial" w:hAnsi="Arial" w:cs="Arial"/>
        </w:rPr>
      </w:pPr>
      <w:r w:rsidRPr="00D34A9F">
        <w:rPr>
          <w:rFonts w:ascii="Arial" w:hAnsi="Arial" w:cs="Arial"/>
          <w:szCs w:val="24"/>
        </w:rPr>
        <w:br/>
      </w:r>
      <w:r w:rsidRPr="00D34A9F">
        <w:rPr>
          <w:rStyle w:val="markedcontent"/>
          <w:rFonts w:ascii="Arial" w:hAnsi="Arial" w:cs="Arial"/>
        </w:rPr>
        <w:t>Proces produkcyjny wodnych dyspersji polimerów i kopolimerów akrylowych będzie prowadzony również</w:t>
      </w:r>
      <w:r w:rsidRPr="00D34A9F">
        <w:rPr>
          <w:rFonts w:ascii="Arial" w:hAnsi="Arial" w:cs="Arial"/>
          <w:szCs w:val="24"/>
        </w:rPr>
        <w:t xml:space="preserve"> </w:t>
      </w:r>
      <w:r w:rsidRPr="00D34A9F">
        <w:rPr>
          <w:rStyle w:val="markedcontent"/>
          <w:rFonts w:ascii="Arial" w:hAnsi="Arial" w:cs="Arial"/>
        </w:rPr>
        <w:t>w układzie zamkniętym metodą okresową. Po zakończonym procesie reaktor jest myty i przygotowywany</w:t>
      </w:r>
      <w:r w:rsidRPr="00D34A9F">
        <w:rPr>
          <w:rFonts w:ascii="Arial" w:hAnsi="Arial" w:cs="Arial"/>
          <w:szCs w:val="24"/>
        </w:rPr>
        <w:t xml:space="preserve"> </w:t>
      </w:r>
      <w:r w:rsidRPr="00D34A9F">
        <w:rPr>
          <w:rStyle w:val="markedcontent"/>
          <w:rFonts w:ascii="Arial" w:hAnsi="Arial" w:cs="Arial"/>
        </w:rPr>
        <w:t>do kolejnego procesu. Mycie reaktorów podzielone jest na dwa etapy. W pierwszym etapie rozcieńczona dyspersja z mycia reaktorów jest odzyskiwana i dodawana do kolejnej partii gotowego produktu. W drugim etapie woda z mycia reaktorów trafia do zakładowej podczyszczalni ścieków.</w:t>
      </w:r>
      <w:r w:rsidRPr="00D34A9F">
        <w:rPr>
          <w:rFonts w:ascii="Arial" w:hAnsi="Arial" w:cs="Arial"/>
          <w:szCs w:val="24"/>
        </w:rPr>
        <w:br/>
      </w:r>
    </w:p>
    <w:p w:rsidR="00D34A9F" w:rsidRPr="00D34A9F" w:rsidRDefault="00D34A9F" w:rsidP="00D34A9F">
      <w:pPr>
        <w:pStyle w:val="Standard"/>
        <w:rPr>
          <w:rStyle w:val="markedcontent"/>
          <w:rFonts w:ascii="Arial" w:hAnsi="Arial" w:cs="Arial"/>
        </w:rPr>
      </w:pPr>
      <w:r w:rsidRPr="00D34A9F">
        <w:rPr>
          <w:rStyle w:val="markedcontent"/>
          <w:rFonts w:ascii="Arial" w:hAnsi="Arial" w:cs="Arial"/>
        </w:rPr>
        <w:t>W dziale P-2 prowadzona będzie produkcja klejów na bazie wodnych dyspersji poli(octanu winylu)</w:t>
      </w:r>
      <w:r w:rsidRPr="00D34A9F">
        <w:rPr>
          <w:rFonts w:ascii="Arial" w:hAnsi="Arial" w:cs="Arial"/>
          <w:szCs w:val="24"/>
        </w:rPr>
        <w:br/>
      </w:r>
      <w:r w:rsidRPr="00D34A9F">
        <w:rPr>
          <w:rStyle w:val="markedcontent"/>
          <w:rFonts w:ascii="Arial" w:hAnsi="Arial" w:cs="Arial"/>
        </w:rPr>
        <w:t xml:space="preserve">(zdolność produkcyjna 40 000 Mg/rok). Po zakończonym procesie mieszalniki będą myte i przygotowywane do kolejnego procesu. Mycie mieszalników będzie podzielone na dwa etapy. </w:t>
      </w:r>
      <w:r w:rsidRPr="00D34A9F">
        <w:rPr>
          <w:rStyle w:val="markedcontent"/>
          <w:rFonts w:ascii="Arial" w:hAnsi="Arial" w:cs="Arial"/>
        </w:rPr>
        <w:br/>
        <w:t xml:space="preserve">W pierwszym etapie rozcieńczony klej na bazie wodnych dyspersji poli(octanu winylu) z mycia mieszalników będzie odzyskiwany i zawracany do zbiornika z rozcieńczoną dyspersją z mycia reaktorów, z którego będzie ponownie przesyłany na dział P-2 i wykorzystywany w procesie produkcji klejów. W drugim etapie woda z mycia mieszalników trafia do zakładowej podczyszczalni ścieków. </w:t>
      </w:r>
    </w:p>
    <w:p w:rsidR="00D34A9F" w:rsidRPr="00D34A9F" w:rsidRDefault="00D34A9F" w:rsidP="00D34A9F">
      <w:pPr>
        <w:pStyle w:val="Standard"/>
        <w:rPr>
          <w:rStyle w:val="markedcontent"/>
          <w:rFonts w:ascii="Arial" w:hAnsi="Arial" w:cs="Arial"/>
        </w:rPr>
      </w:pPr>
    </w:p>
    <w:p w:rsidR="00D34A9F" w:rsidRPr="00D34A9F" w:rsidRDefault="00D34A9F" w:rsidP="00D34A9F">
      <w:pPr>
        <w:pStyle w:val="Standard"/>
        <w:rPr>
          <w:rStyle w:val="markedcontent"/>
          <w:rFonts w:ascii="Arial" w:hAnsi="Arial" w:cs="Arial"/>
        </w:rPr>
      </w:pPr>
      <w:r w:rsidRPr="00D34A9F">
        <w:rPr>
          <w:rStyle w:val="markedcontent"/>
          <w:rFonts w:ascii="Arial" w:hAnsi="Arial" w:cs="Arial"/>
        </w:rPr>
        <w:t>W dziale P-3 prowadzona będzie produkcja wodnych dyspersji polimerów i kopolimerów octanu winylu</w:t>
      </w:r>
      <w:r w:rsidR="005367E3">
        <w:rPr>
          <w:rFonts w:ascii="Arial" w:hAnsi="Arial" w:cs="Arial"/>
          <w:szCs w:val="24"/>
        </w:rPr>
        <w:t xml:space="preserve"> </w:t>
      </w:r>
      <w:r w:rsidRPr="00D34A9F">
        <w:rPr>
          <w:rStyle w:val="markedcontent"/>
          <w:rFonts w:ascii="Arial" w:hAnsi="Arial" w:cs="Arial"/>
        </w:rPr>
        <w:t>metodą polimeryzacji emulsyjnej pod zwiększonym ciśnieniem (zdolność produkcyjna 38 500 Mg/rok). Proces produkcyjny wodnych dyspersji będzie prowadzony metodą okresową. Po zakończonym procesie</w:t>
      </w:r>
      <w:r w:rsidRPr="00D34A9F">
        <w:rPr>
          <w:rFonts w:ascii="Arial" w:hAnsi="Arial" w:cs="Arial"/>
          <w:szCs w:val="24"/>
        </w:rPr>
        <w:t xml:space="preserve"> </w:t>
      </w:r>
      <w:r w:rsidRPr="00D34A9F">
        <w:rPr>
          <w:rStyle w:val="markedcontent"/>
          <w:rFonts w:ascii="Arial" w:hAnsi="Arial" w:cs="Arial"/>
        </w:rPr>
        <w:t xml:space="preserve">reaktor jest myty i przygotowywany do kolejnego procesu. Mycie reaktorów podzielone jest </w:t>
      </w:r>
      <w:r w:rsidRPr="00D34A9F">
        <w:rPr>
          <w:rStyle w:val="markedcontent"/>
          <w:rFonts w:ascii="Arial" w:hAnsi="Arial" w:cs="Arial"/>
        </w:rPr>
        <w:br/>
        <w:t>na dwa etapy.</w:t>
      </w:r>
    </w:p>
    <w:p w:rsidR="00D34A9F" w:rsidRPr="00D34A9F" w:rsidRDefault="00D34A9F" w:rsidP="00D34A9F">
      <w:pPr>
        <w:pStyle w:val="Standard"/>
        <w:rPr>
          <w:rStyle w:val="markedcontent"/>
          <w:rFonts w:ascii="Arial" w:hAnsi="Arial" w:cs="Arial"/>
        </w:rPr>
      </w:pPr>
      <w:r w:rsidRPr="00D34A9F">
        <w:rPr>
          <w:rFonts w:ascii="Arial" w:hAnsi="Arial" w:cs="Arial"/>
          <w:szCs w:val="24"/>
        </w:rPr>
        <w:br/>
      </w:r>
      <w:r w:rsidRPr="00D34A9F">
        <w:rPr>
          <w:rStyle w:val="markedcontent"/>
          <w:rFonts w:ascii="Arial" w:hAnsi="Arial" w:cs="Arial"/>
        </w:rPr>
        <w:t>W pierwszym etapie rozcieńczona dyspersja z mycia reaktorów jest odzyskiwana i zbierana w zbiorniku, z którego jest przesyłana na dział P-2 i wykorzystywana w procesie produkcji klejów na bazie</w:t>
      </w:r>
      <w:r w:rsidR="005367E3">
        <w:rPr>
          <w:rFonts w:ascii="Arial" w:hAnsi="Arial" w:cs="Arial"/>
          <w:szCs w:val="24"/>
        </w:rPr>
        <w:t xml:space="preserve"> </w:t>
      </w:r>
      <w:r w:rsidRPr="00D34A9F">
        <w:rPr>
          <w:rStyle w:val="markedcontent"/>
          <w:rFonts w:ascii="Arial" w:hAnsi="Arial" w:cs="Arial"/>
        </w:rPr>
        <w:t>wodnych dyspersji poli(octanu winylu). W drugim etapie woda z mycia reaktorów trafia do zakładowej</w:t>
      </w:r>
      <w:r w:rsidR="005367E3">
        <w:rPr>
          <w:rFonts w:ascii="Arial" w:hAnsi="Arial" w:cs="Arial"/>
          <w:szCs w:val="24"/>
        </w:rPr>
        <w:t xml:space="preserve"> </w:t>
      </w:r>
      <w:r w:rsidRPr="00D34A9F">
        <w:rPr>
          <w:rStyle w:val="markedcontent"/>
          <w:rFonts w:ascii="Arial" w:hAnsi="Arial" w:cs="Arial"/>
        </w:rPr>
        <w:t>podczyszczalni ścieków.</w:t>
      </w:r>
    </w:p>
    <w:p w:rsidR="00D34A9F" w:rsidRPr="00D34A9F" w:rsidRDefault="00D34A9F" w:rsidP="00D34A9F">
      <w:pPr>
        <w:pStyle w:val="Standard"/>
        <w:rPr>
          <w:rStyle w:val="markedcontent"/>
          <w:rFonts w:ascii="Arial" w:hAnsi="Arial" w:cs="Arial"/>
        </w:rPr>
      </w:pPr>
      <w:r w:rsidRPr="00D34A9F">
        <w:rPr>
          <w:rFonts w:ascii="Arial" w:hAnsi="Arial" w:cs="Arial"/>
          <w:szCs w:val="24"/>
        </w:rPr>
        <w:lastRenderedPageBreak/>
        <w:br/>
      </w:r>
      <w:r w:rsidRPr="00D34A9F">
        <w:rPr>
          <w:rStyle w:val="markedcontent"/>
          <w:rFonts w:ascii="Arial" w:hAnsi="Arial" w:cs="Arial"/>
        </w:rPr>
        <w:t>Procesy pomocnicze zastosowane w technologii:</w:t>
      </w:r>
    </w:p>
    <w:p w:rsidR="00D34A9F" w:rsidRPr="00D34A9F" w:rsidRDefault="00D34A9F" w:rsidP="00D34A9F">
      <w:pPr>
        <w:pStyle w:val="Standard"/>
        <w:rPr>
          <w:rStyle w:val="markedcontent"/>
          <w:rFonts w:ascii="Arial" w:hAnsi="Arial" w:cs="Arial"/>
        </w:rPr>
      </w:pPr>
      <w:r w:rsidRPr="00D34A9F">
        <w:rPr>
          <w:rStyle w:val="markedcontent"/>
          <w:rFonts w:ascii="Arial" w:hAnsi="Arial" w:cs="Arial"/>
        </w:rPr>
        <w:t>– uzdatnianie wody: do produkcji wody demineralizowanej, wykorzystywanej w procesie produkcyjnym oraz do produkcji pary w kotłowni, zostanie zainstalowana stacja uzdatniania wody metodą odwróconej osmozy;</w:t>
      </w:r>
    </w:p>
    <w:p w:rsidR="00D34A9F" w:rsidRPr="00D34A9F" w:rsidRDefault="00D34A9F" w:rsidP="00D34A9F">
      <w:pPr>
        <w:pStyle w:val="Standard"/>
        <w:rPr>
          <w:rStyle w:val="markedcontent"/>
          <w:rFonts w:ascii="Arial" w:hAnsi="Arial" w:cs="Arial"/>
        </w:rPr>
      </w:pPr>
      <w:r w:rsidRPr="00D34A9F">
        <w:rPr>
          <w:rStyle w:val="markedcontent"/>
          <w:rFonts w:ascii="Arial" w:hAnsi="Arial" w:cs="Arial"/>
        </w:rPr>
        <w:t>– produkcja pary: wytwarzanie pary niezbędnej do podgrzewania aparatów w instalacji prowadzone będzie przy pomocy dwóch kotłów parowych umieszczonych w zakładowej kotłowni;</w:t>
      </w:r>
    </w:p>
    <w:p w:rsidR="00D34A9F" w:rsidRPr="00D34A9F" w:rsidRDefault="00D34A9F" w:rsidP="00D34A9F">
      <w:pPr>
        <w:pStyle w:val="Standard"/>
        <w:rPr>
          <w:rStyle w:val="markedcontent"/>
          <w:rFonts w:ascii="Arial" w:hAnsi="Arial" w:cs="Arial"/>
        </w:rPr>
      </w:pPr>
      <w:r w:rsidRPr="00D34A9F">
        <w:rPr>
          <w:rStyle w:val="markedcontent"/>
          <w:rFonts w:ascii="Arial" w:hAnsi="Arial" w:cs="Arial"/>
        </w:rPr>
        <w:t>– chłodzenie: w procesie technologicznym niezbędne jest również chłodzenie aparatów w instalacji.</w:t>
      </w:r>
      <w:r w:rsidRPr="00D34A9F">
        <w:rPr>
          <w:rFonts w:ascii="Arial" w:hAnsi="Arial" w:cs="Arial"/>
          <w:szCs w:val="24"/>
        </w:rPr>
        <w:br/>
      </w:r>
      <w:r w:rsidRPr="00D34A9F">
        <w:rPr>
          <w:rStyle w:val="markedcontent"/>
          <w:rFonts w:ascii="Arial" w:hAnsi="Arial" w:cs="Arial"/>
        </w:rPr>
        <w:t>Podgrzana woda kierowana jest na chłodnie wentylatorowe, które są głównym elementem zamkniętego obiegu chłodniczego.</w:t>
      </w:r>
    </w:p>
    <w:p w:rsidR="00D34A9F" w:rsidRPr="00D34A9F" w:rsidRDefault="00D34A9F" w:rsidP="00D34A9F">
      <w:pPr>
        <w:pStyle w:val="Standard"/>
        <w:rPr>
          <w:rFonts w:ascii="Arial" w:hAnsi="Arial" w:cs="Arial"/>
          <w:szCs w:val="24"/>
        </w:rPr>
      </w:pPr>
      <w:r w:rsidRPr="00D34A9F">
        <w:rPr>
          <w:rStyle w:val="markedcontent"/>
          <w:rFonts w:ascii="Arial" w:hAnsi="Arial" w:cs="Arial"/>
        </w:rPr>
        <w:t>– podczyszczanie ścieków: ścieki poprodukcyjne pochodzące z mycia instalacji do produkcji wodnych</w:t>
      </w:r>
      <w:r w:rsidRPr="00D34A9F">
        <w:rPr>
          <w:rFonts w:ascii="Arial" w:hAnsi="Arial" w:cs="Arial"/>
          <w:szCs w:val="24"/>
        </w:rPr>
        <w:br/>
      </w:r>
      <w:r w:rsidRPr="00D34A9F">
        <w:rPr>
          <w:rStyle w:val="markedcontent"/>
          <w:rFonts w:ascii="Arial" w:hAnsi="Arial" w:cs="Arial"/>
        </w:rPr>
        <w:t>dyspersji oraz klejów, które nie zostały zawrócone do zbiorników magazynowych na rozcieńczoną</w:t>
      </w:r>
      <w:r w:rsidR="005367E3">
        <w:rPr>
          <w:rFonts w:ascii="Arial" w:hAnsi="Arial" w:cs="Arial"/>
          <w:szCs w:val="24"/>
        </w:rPr>
        <w:t xml:space="preserve"> </w:t>
      </w:r>
      <w:r w:rsidRPr="00D34A9F">
        <w:rPr>
          <w:rStyle w:val="markedcontent"/>
          <w:rFonts w:ascii="Arial" w:hAnsi="Arial" w:cs="Arial"/>
        </w:rPr>
        <w:t>dyspersję, z mycia pojemników oraz prac porządkowych na terenie zakładu trafiać będą kanalizacją</w:t>
      </w:r>
      <w:r w:rsidR="005367E3">
        <w:rPr>
          <w:rFonts w:ascii="Arial" w:hAnsi="Arial" w:cs="Arial"/>
          <w:szCs w:val="24"/>
        </w:rPr>
        <w:t xml:space="preserve"> </w:t>
      </w:r>
      <w:r w:rsidRPr="00D34A9F">
        <w:rPr>
          <w:rStyle w:val="markedcontent"/>
          <w:rFonts w:ascii="Arial" w:hAnsi="Arial" w:cs="Arial"/>
        </w:rPr>
        <w:t>technologiczną do zakładowej podczyszczalni ścieków</w:t>
      </w:r>
    </w:p>
    <w:p w:rsidR="00D34A9F" w:rsidRPr="00D34A9F" w:rsidRDefault="00D34A9F" w:rsidP="00D34A9F">
      <w:pPr>
        <w:pStyle w:val="Standard"/>
        <w:rPr>
          <w:rFonts w:ascii="Arial" w:hAnsi="Arial" w:cs="Arial"/>
          <w:szCs w:val="24"/>
        </w:rPr>
      </w:pPr>
    </w:p>
    <w:p w:rsidR="00D34A9F" w:rsidRPr="00D34A9F" w:rsidRDefault="00D34A9F" w:rsidP="00D34A9F">
      <w:pPr>
        <w:pStyle w:val="Standard"/>
        <w:rPr>
          <w:rFonts w:ascii="Arial" w:hAnsi="Arial" w:cs="Arial"/>
          <w:szCs w:val="24"/>
        </w:rPr>
      </w:pPr>
    </w:p>
    <w:p w:rsidR="00D34A9F" w:rsidRPr="00D34A9F" w:rsidRDefault="00D34A9F" w:rsidP="00D34A9F">
      <w:pPr>
        <w:pStyle w:val="Standard"/>
        <w:rPr>
          <w:rFonts w:ascii="Arial" w:hAnsi="Arial" w:cs="Arial"/>
          <w:szCs w:val="24"/>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sz w:val="16"/>
          <w:szCs w:val="16"/>
        </w:rPr>
      </w:pPr>
    </w:p>
    <w:p w:rsidR="00D34A9F" w:rsidRPr="00D34A9F" w:rsidRDefault="00D34A9F" w:rsidP="00D34A9F">
      <w:pPr>
        <w:rPr>
          <w:rFonts w:ascii="Arial" w:hAnsi="Arial" w:cs="Arial"/>
        </w:rPr>
      </w:pPr>
      <w:bookmarkStart w:id="0" w:name="_GoBack"/>
      <w:bookmarkEnd w:id="0"/>
    </w:p>
    <w:p w:rsidR="00D34A9F" w:rsidRPr="00D34A9F" w:rsidRDefault="00D34A9F" w:rsidP="00D34A9F">
      <w:pPr>
        <w:rPr>
          <w:rFonts w:ascii="Arial" w:hAnsi="Arial" w:cs="Arial"/>
        </w:rPr>
      </w:pPr>
    </w:p>
    <w:sectPr w:rsidR="00D34A9F" w:rsidRPr="00D34A9F" w:rsidSect="00026960">
      <w:headerReference w:type="even" r:id="rId5"/>
      <w:footerReference w:type="even" r:id="rId6"/>
      <w:footerReference w:type="default" r:id="rId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75" w:rsidRDefault="005367E3" w:rsidP="002C19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B0675" w:rsidRDefault="005367E3" w:rsidP="002C19A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75" w:rsidRDefault="005367E3">
    <w:pPr>
      <w:pStyle w:val="Stopka"/>
      <w:jc w:val="right"/>
    </w:pPr>
    <w:r>
      <w:fldChar w:fldCharType="begin"/>
    </w:r>
    <w:r>
      <w:instrText>PAGE   \* MERGEFORMAT</w:instrText>
    </w:r>
    <w:r>
      <w:fldChar w:fldCharType="separate"/>
    </w:r>
    <w:r>
      <w:rPr>
        <w:noProof/>
      </w:rPr>
      <w:t>33</w:t>
    </w:r>
    <w:r>
      <w:fldChar w:fldCharType="end"/>
    </w:r>
  </w:p>
  <w:p w:rsidR="009B0675" w:rsidRDefault="005367E3" w:rsidP="002C19A3">
    <w:pPr>
      <w:pStyle w:val="Stopk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75" w:rsidRDefault="005367E3" w:rsidP="002C19A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9B0675" w:rsidRDefault="005367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E00A4"/>
    <w:multiLevelType w:val="hybridMultilevel"/>
    <w:tmpl w:val="DCE2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D367E"/>
    <w:multiLevelType w:val="hybridMultilevel"/>
    <w:tmpl w:val="72746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1750A6"/>
    <w:multiLevelType w:val="hybridMultilevel"/>
    <w:tmpl w:val="94029B8C"/>
    <w:lvl w:ilvl="0" w:tplc="C076E16A">
      <w:start w:val="1"/>
      <w:numFmt w:val="lowerLetter"/>
      <w:lvlText w:val="%1)"/>
      <w:lvlJc w:val="left"/>
      <w:pPr>
        <w:ind w:left="1440" w:hanging="360"/>
      </w:pPr>
      <w:rPr>
        <w:rFonts w:ascii="Arial Narrow" w:hAnsi="Arial Narrow"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52678EC"/>
    <w:multiLevelType w:val="hybridMultilevel"/>
    <w:tmpl w:val="995E3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A2B5B"/>
    <w:multiLevelType w:val="hybridMultilevel"/>
    <w:tmpl w:val="D6F0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301AA"/>
    <w:multiLevelType w:val="hybridMultilevel"/>
    <w:tmpl w:val="DCE2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36C6F"/>
    <w:multiLevelType w:val="hybridMultilevel"/>
    <w:tmpl w:val="801AC9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FF2380"/>
    <w:multiLevelType w:val="hybridMultilevel"/>
    <w:tmpl w:val="22B4C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C26145"/>
    <w:multiLevelType w:val="hybridMultilevel"/>
    <w:tmpl w:val="BA7A6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4A22C0"/>
    <w:multiLevelType w:val="hybridMultilevel"/>
    <w:tmpl w:val="A5B80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466A42"/>
    <w:multiLevelType w:val="hybridMultilevel"/>
    <w:tmpl w:val="5186FA7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2E0D7355"/>
    <w:multiLevelType w:val="hybridMultilevel"/>
    <w:tmpl w:val="A2DAF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DC6E3D"/>
    <w:multiLevelType w:val="hybridMultilevel"/>
    <w:tmpl w:val="D9FC4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FA3FCD"/>
    <w:multiLevelType w:val="hybridMultilevel"/>
    <w:tmpl w:val="9650F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2E71D3"/>
    <w:multiLevelType w:val="hybridMultilevel"/>
    <w:tmpl w:val="E9EEFB8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33824B53"/>
    <w:multiLevelType w:val="hybridMultilevel"/>
    <w:tmpl w:val="B6B0F4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57E5688"/>
    <w:multiLevelType w:val="hybridMultilevel"/>
    <w:tmpl w:val="0E4007FC"/>
    <w:lvl w:ilvl="0" w:tplc="4148E776">
      <w:start w:val="1"/>
      <w:numFmt w:val="bullet"/>
      <w:pStyle w:val="ALWypunktowanie"/>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9254B5"/>
    <w:multiLevelType w:val="hybridMultilevel"/>
    <w:tmpl w:val="D9EE3C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F5B3DD5"/>
    <w:multiLevelType w:val="hybridMultilevel"/>
    <w:tmpl w:val="9D4AA0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FBF396E"/>
    <w:multiLevelType w:val="hybridMultilevel"/>
    <w:tmpl w:val="9BEE73AA"/>
    <w:lvl w:ilvl="0" w:tplc="9DDCA022">
      <w:start w:val="1"/>
      <w:numFmt w:val="decimal"/>
      <w:lvlText w:val="%1."/>
      <w:lvlJc w:val="left"/>
      <w:pPr>
        <w:ind w:left="720" w:hanging="360"/>
      </w:pPr>
      <w:rPr>
        <w:rFonts w:ascii="Arial Narrow" w:hAnsi="Arial Narrow"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2C0868"/>
    <w:multiLevelType w:val="hybridMultilevel"/>
    <w:tmpl w:val="E6AA8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CB3E7D"/>
    <w:multiLevelType w:val="hybridMultilevel"/>
    <w:tmpl w:val="1506F23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44633B69"/>
    <w:multiLevelType w:val="hybridMultilevel"/>
    <w:tmpl w:val="D6F0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7D5773"/>
    <w:multiLevelType w:val="hybridMultilevel"/>
    <w:tmpl w:val="3FE45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264C3B"/>
    <w:multiLevelType w:val="hybridMultilevel"/>
    <w:tmpl w:val="54D60E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ACD70FB"/>
    <w:multiLevelType w:val="hybridMultilevel"/>
    <w:tmpl w:val="5D68FC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BAA0C76"/>
    <w:multiLevelType w:val="hybridMultilevel"/>
    <w:tmpl w:val="8DA46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D25DA"/>
    <w:multiLevelType w:val="hybridMultilevel"/>
    <w:tmpl w:val="A34AD9D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56FF4212"/>
    <w:multiLevelType w:val="hybridMultilevel"/>
    <w:tmpl w:val="DFB0F2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787103E"/>
    <w:multiLevelType w:val="hybridMultilevel"/>
    <w:tmpl w:val="8E4C7B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D7779B6"/>
    <w:multiLevelType w:val="hybridMultilevel"/>
    <w:tmpl w:val="2D56A3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42955F2"/>
    <w:multiLevelType w:val="hybridMultilevel"/>
    <w:tmpl w:val="5D68FC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76A1BE0"/>
    <w:multiLevelType w:val="hybridMultilevel"/>
    <w:tmpl w:val="0A84D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B459D8"/>
    <w:multiLevelType w:val="hybridMultilevel"/>
    <w:tmpl w:val="136A4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B078A"/>
    <w:multiLevelType w:val="hybridMultilevel"/>
    <w:tmpl w:val="E4589C26"/>
    <w:lvl w:ilvl="0" w:tplc="0415000F">
      <w:start w:val="1"/>
      <w:numFmt w:val="decimal"/>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35" w15:restartNumberingAfterBreak="0">
    <w:nsid w:val="70A66FA1"/>
    <w:multiLevelType w:val="hybridMultilevel"/>
    <w:tmpl w:val="CFC8D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E9251E"/>
    <w:multiLevelType w:val="hybridMultilevel"/>
    <w:tmpl w:val="4CF0F2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8E239E"/>
    <w:multiLevelType w:val="hybridMultilevel"/>
    <w:tmpl w:val="346A525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7E9439AF"/>
    <w:multiLevelType w:val="hybridMultilevel"/>
    <w:tmpl w:val="68F4B16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37"/>
  </w:num>
  <w:num w:numId="2">
    <w:abstractNumId w:val="4"/>
  </w:num>
  <w:num w:numId="3">
    <w:abstractNumId w:val="11"/>
  </w:num>
  <w:num w:numId="4">
    <w:abstractNumId w:val="16"/>
  </w:num>
  <w:num w:numId="5">
    <w:abstractNumId w:val="9"/>
  </w:num>
  <w:num w:numId="6">
    <w:abstractNumId w:val="27"/>
  </w:num>
  <w:num w:numId="7">
    <w:abstractNumId w:val="38"/>
  </w:num>
  <w:num w:numId="8">
    <w:abstractNumId w:val="7"/>
  </w:num>
  <w:num w:numId="9">
    <w:abstractNumId w:val="31"/>
  </w:num>
  <w:num w:numId="10">
    <w:abstractNumId w:val="19"/>
  </w:num>
  <w:num w:numId="11">
    <w:abstractNumId w:val="25"/>
  </w:num>
  <w:num w:numId="12">
    <w:abstractNumId w:val="2"/>
  </w:num>
  <w:num w:numId="13">
    <w:abstractNumId w:val="22"/>
  </w:num>
  <w:num w:numId="14">
    <w:abstractNumId w:val="3"/>
  </w:num>
  <w:num w:numId="15">
    <w:abstractNumId w:val="1"/>
  </w:num>
  <w:num w:numId="16">
    <w:abstractNumId w:val="20"/>
  </w:num>
  <w:num w:numId="17">
    <w:abstractNumId w:val="36"/>
  </w:num>
  <w:num w:numId="18">
    <w:abstractNumId w:val="10"/>
  </w:num>
  <w:num w:numId="19">
    <w:abstractNumId w:val="32"/>
  </w:num>
  <w:num w:numId="20">
    <w:abstractNumId w:val="12"/>
  </w:num>
  <w:num w:numId="21">
    <w:abstractNumId w:val="0"/>
  </w:num>
  <w:num w:numId="22">
    <w:abstractNumId w:val="28"/>
  </w:num>
  <w:num w:numId="23">
    <w:abstractNumId w:val="8"/>
  </w:num>
  <w:num w:numId="24">
    <w:abstractNumId w:val="29"/>
  </w:num>
  <w:num w:numId="25">
    <w:abstractNumId w:val="13"/>
  </w:num>
  <w:num w:numId="26">
    <w:abstractNumId w:val="5"/>
  </w:num>
  <w:num w:numId="27">
    <w:abstractNumId w:val="35"/>
  </w:num>
  <w:num w:numId="28">
    <w:abstractNumId w:val="17"/>
  </w:num>
  <w:num w:numId="29">
    <w:abstractNumId w:val="15"/>
  </w:num>
  <w:num w:numId="30">
    <w:abstractNumId w:val="21"/>
  </w:num>
  <w:num w:numId="31">
    <w:abstractNumId w:val="23"/>
  </w:num>
  <w:num w:numId="32">
    <w:abstractNumId w:val="24"/>
  </w:num>
  <w:num w:numId="33">
    <w:abstractNumId w:val="34"/>
  </w:num>
  <w:num w:numId="34">
    <w:abstractNumId w:val="6"/>
  </w:num>
  <w:num w:numId="35">
    <w:abstractNumId w:val="18"/>
  </w:num>
  <w:num w:numId="36">
    <w:abstractNumId w:val="26"/>
  </w:num>
  <w:num w:numId="37">
    <w:abstractNumId w:val="33"/>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9F"/>
    <w:rsid w:val="005367E3"/>
    <w:rsid w:val="00554DE0"/>
    <w:rsid w:val="00824668"/>
    <w:rsid w:val="00884B29"/>
    <w:rsid w:val="00B74159"/>
    <w:rsid w:val="00CB43AC"/>
    <w:rsid w:val="00D34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6E035-F46B-46D9-8B1D-D91DF5BD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4A9F"/>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D34A9F"/>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34A9F"/>
    <w:rPr>
      <w:rFonts w:ascii="Calibri Light" w:eastAsia="Times New Roman" w:hAnsi="Calibri Light" w:cs="Times New Roman"/>
      <w:b/>
      <w:bCs/>
      <w:sz w:val="26"/>
      <w:szCs w:val="26"/>
      <w:lang w:eastAsia="pl-PL"/>
    </w:rPr>
  </w:style>
  <w:style w:type="paragraph" w:styleId="Stopka">
    <w:name w:val="footer"/>
    <w:basedOn w:val="Normalny"/>
    <w:link w:val="StopkaZnak"/>
    <w:uiPriority w:val="99"/>
    <w:rsid w:val="00D34A9F"/>
    <w:pPr>
      <w:tabs>
        <w:tab w:val="center" w:pos="4536"/>
        <w:tab w:val="right" w:pos="9072"/>
      </w:tabs>
    </w:pPr>
  </w:style>
  <w:style w:type="character" w:customStyle="1" w:styleId="StopkaZnak">
    <w:name w:val="Stopka Znak"/>
    <w:basedOn w:val="Domylnaczcionkaakapitu"/>
    <w:link w:val="Stopka"/>
    <w:uiPriority w:val="99"/>
    <w:rsid w:val="00D34A9F"/>
    <w:rPr>
      <w:rFonts w:ascii="Times New Roman" w:eastAsia="Times New Roman" w:hAnsi="Times New Roman" w:cs="Times New Roman"/>
      <w:sz w:val="24"/>
      <w:szCs w:val="24"/>
      <w:lang w:eastAsia="pl-PL"/>
    </w:rPr>
  </w:style>
  <w:style w:type="character" w:styleId="Numerstrony">
    <w:name w:val="page number"/>
    <w:basedOn w:val="Domylnaczcionkaakapitu"/>
    <w:rsid w:val="00D34A9F"/>
  </w:style>
  <w:style w:type="paragraph" w:styleId="Nagwek">
    <w:name w:val="header"/>
    <w:basedOn w:val="Normalny"/>
    <w:link w:val="NagwekZnak"/>
    <w:rsid w:val="00D34A9F"/>
    <w:pPr>
      <w:tabs>
        <w:tab w:val="center" w:pos="4536"/>
        <w:tab w:val="right" w:pos="9072"/>
      </w:tabs>
    </w:pPr>
  </w:style>
  <w:style w:type="character" w:customStyle="1" w:styleId="NagwekZnak">
    <w:name w:val="Nagłówek Znak"/>
    <w:basedOn w:val="Domylnaczcionkaakapitu"/>
    <w:link w:val="Nagwek"/>
    <w:rsid w:val="00D34A9F"/>
    <w:rPr>
      <w:rFonts w:ascii="Times New Roman" w:eastAsia="Times New Roman" w:hAnsi="Times New Roman" w:cs="Times New Roman"/>
      <w:sz w:val="24"/>
      <w:szCs w:val="24"/>
      <w:lang w:eastAsia="pl-PL"/>
    </w:rPr>
  </w:style>
  <w:style w:type="paragraph" w:customStyle="1" w:styleId="Default">
    <w:name w:val="Default"/>
    <w:rsid w:val="00D34A9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D34A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A9F"/>
    <w:rPr>
      <w:rFonts w:ascii="Segoe UI" w:eastAsia="Times New Roman" w:hAnsi="Segoe UI" w:cs="Segoe UI"/>
      <w:sz w:val="18"/>
      <w:szCs w:val="18"/>
      <w:lang w:eastAsia="pl-PL"/>
    </w:rPr>
  </w:style>
  <w:style w:type="character" w:styleId="Hipercze">
    <w:name w:val="Hyperlink"/>
    <w:rsid w:val="00D34A9F"/>
    <w:rPr>
      <w:color w:val="0000FF"/>
      <w:u w:val="single"/>
    </w:rPr>
  </w:style>
  <w:style w:type="character" w:styleId="Pogrubienie">
    <w:name w:val="Strong"/>
    <w:uiPriority w:val="22"/>
    <w:qFormat/>
    <w:rsid w:val="00D34A9F"/>
    <w:rPr>
      <w:b/>
      <w:bCs/>
    </w:rPr>
  </w:style>
  <w:style w:type="character" w:customStyle="1" w:styleId="Teksttreci2">
    <w:name w:val="Tekst treści (2)_"/>
    <w:link w:val="Teksttreci20"/>
    <w:locked/>
    <w:rsid w:val="00D34A9F"/>
    <w:rPr>
      <w:rFonts w:ascii="Bookman Old Style" w:eastAsia="Bookman Old Style" w:hAnsi="Bookman Old Style" w:cs="Bookman Old Style"/>
      <w:shd w:val="clear" w:color="auto" w:fill="FFFFFF"/>
    </w:rPr>
  </w:style>
  <w:style w:type="paragraph" w:customStyle="1" w:styleId="Teksttreci20">
    <w:name w:val="Tekst treści (2)"/>
    <w:basedOn w:val="Normalny"/>
    <w:link w:val="Teksttreci2"/>
    <w:rsid w:val="00D34A9F"/>
    <w:pPr>
      <w:widowControl w:val="0"/>
      <w:shd w:val="clear" w:color="auto" w:fill="FFFFFF"/>
      <w:spacing w:line="0" w:lineRule="atLeast"/>
      <w:ind w:hanging="440"/>
      <w:jc w:val="right"/>
    </w:pPr>
    <w:rPr>
      <w:rFonts w:ascii="Bookman Old Style" w:eastAsia="Bookman Old Style" w:hAnsi="Bookman Old Style" w:cs="Bookman Old Style"/>
      <w:sz w:val="22"/>
      <w:szCs w:val="22"/>
      <w:lang w:eastAsia="en-US"/>
    </w:rPr>
  </w:style>
  <w:style w:type="paragraph" w:styleId="Tekstpodstawowy3">
    <w:name w:val="Body Text 3"/>
    <w:basedOn w:val="Normalny"/>
    <w:link w:val="Tekstpodstawowy3Znak"/>
    <w:rsid w:val="00D34A9F"/>
    <w:pPr>
      <w:widowControl w:val="0"/>
      <w:suppressAutoHyphens/>
      <w:autoSpaceDE w:val="0"/>
      <w:spacing w:before="120" w:after="120" w:line="360" w:lineRule="auto"/>
      <w:jc w:val="both"/>
    </w:pPr>
    <w:rPr>
      <w:rFonts w:eastAsia="Batang"/>
      <w:sz w:val="16"/>
      <w:szCs w:val="16"/>
      <w:lang w:eastAsia="ar-SA"/>
    </w:rPr>
  </w:style>
  <w:style w:type="character" w:customStyle="1" w:styleId="Tekstpodstawowy3Znak">
    <w:name w:val="Tekst podstawowy 3 Znak"/>
    <w:basedOn w:val="Domylnaczcionkaakapitu"/>
    <w:link w:val="Tekstpodstawowy3"/>
    <w:rsid w:val="00D34A9F"/>
    <w:rPr>
      <w:rFonts w:ascii="Times New Roman" w:eastAsia="Batang" w:hAnsi="Times New Roman" w:cs="Times New Roman"/>
      <w:sz w:val="16"/>
      <w:szCs w:val="16"/>
      <w:lang w:eastAsia="ar-SA"/>
    </w:rPr>
  </w:style>
  <w:style w:type="paragraph" w:styleId="Tekstpodstawowy">
    <w:name w:val="Body Text"/>
    <w:basedOn w:val="Normalny"/>
    <w:link w:val="TekstpodstawowyZnak"/>
    <w:uiPriority w:val="99"/>
    <w:semiHidden/>
    <w:unhideWhenUsed/>
    <w:rsid w:val="00D34A9F"/>
    <w:pPr>
      <w:spacing w:after="120"/>
    </w:pPr>
  </w:style>
  <w:style w:type="character" w:customStyle="1" w:styleId="TekstpodstawowyZnak">
    <w:name w:val="Tekst podstawowy Znak"/>
    <w:basedOn w:val="Domylnaczcionkaakapitu"/>
    <w:link w:val="Tekstpodstawowy"/>
    <w:uiPriority w:val="99"/>
    <w:semiHidden/>
    <w:rsid w:val="00D34A9F"/>
    <w:rPr>
      <w:rFonts w:ascii="Times New Roman" w:eastAsia="Times New Roman" w:hAnsi="Times New Roman" w:cs="Times New Roman"/>
      <w:sz w:val="24"/>
      <w:szCs w:val="24"/>
      <w:lang w:eastAsia="pl-PL"/>
    </w:rPr>
  </w:style>
  <w:style w:type="table" w:styleId="Tabela-Siatka">
    <w:name w:val="Table Grid"/>
    <w:basedOn w:val="Standardowy"/>
    <w:uiPriority w:val="59"/>
    <w:rsid w:val="00D34A9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34A9F"/>
    <w:pPr>
      <w:spacing w:after="120" w:line="480" w:lineRule="auto"/>
      <w:ind w:left="283"/>
    </w:pPr>
  </w:style>
  <w:style w:type="character" w:customStyle="1" w:styleId="Tekstpodstawowywcity2Znak">
    <w:name w:val="Tekst podstawowy wcięty 2 Znak"/>
    <w:basedOn w:val="Domylnaczcionkaakapitu"/>
    <w:link w:val="Tekstpodstawowywcity2"/>
    <w:rsid w:val="00D34A9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34A9F"/>
    <w:pPr>
      <w:ind w:left="720"/>
    </w:pPr>
  </w:style>
  <w:style w:type="paragraph" w:styleId="Tekstpodstawowywcity3">
    <w:name w:val="Body Text Indent 3"/>
    <w:basedOn w:val="Normalny"/>
    <w:link w:val="Tekstpodstawowywcity3Znak"/>
    <w:rsid w:val="00D34A9F"/>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9F"/>
    <w:rPr>
      <w:rFonts w:ascii="Times New Roman" w:eastAsia="Times New Roman" w:hAnsi="Times New Roman" w:cs="Times New Roman"/>
      <w:sz w:val="16"/>
      <w:szCs w:val="16"/>
      <w:lang w:eastAsia="pl-PL"/>
    </w:rPr>
  </w:style>
  <w:style w:type="paragraph" w:customStyle="1" w:styleId="Tekst">
    <w:name w:val="Tekst"/>
    <w:basedOn w:val="Wcicienormalne"/>
    <w:rsid w:val="00D34A9F"/>
    <w:pPr>
      <w:numPr>
        <w:ilvl w:val="3"/>
        <w:numId w:val="1"/>
      </w:numPr>
      <w:tabs>
        <w:tab w:val="left" w:pos="425"/>
      </w:tabs>
      <w:suppressAutoHyphens/>
      <w:overflowPunct w:val="0"/>
      <w:adjustRightInd w:val="0"/>
      <w:spacing w:before="120" w:after="120" w:line="360" w:lineRule="auto"/>
      <w:jc w:val="both"/>
    </w:pPr>
    <w:rPr>
      <w:kern w:val="24"/>
    </w:rPr>
  </w:style>
  <w:style w:type="paragraph" w:styleId="Wcicienormalne">
    <w:name w:val="Normal Indent"/>
    <w:basedOn w:val="Normalny"/>
    <w:uiPriority w:val="99"/>
    <w:semiHidden/>
    <w:unhideWhenUsed/>
    <w:rsid w:val="00D34A9F"/>
    <w:pPr>
      <w:ind w:left="708"/>
    </w:pPr>
  </w:style>
  <w:style w:type="paragraph" w:customStyle="1" w:styleId="anita1">
    <w:name w:val="anita1"/>
    <w:basedOn w:val="Normalny"/>
    <w:uiPriority w:val="99"/>
    <w:rsid w:val="00D34A9F"/>
    <w:pPr>
      <w:spacing w:line="360" w:lineRule="auto"/>
      <w:ind w:firstLine="709"/>
      <w:jc w:val="both"/>
    </w:pPr>
    <w:rPr>
      <w:rFonts w:ascii="Arial" w:hAnsi="Arial"/>
      <w:szCs w:val="20"/>
    </w:rPr>
  </w:style>
  <w:style w:type="paragraph" w:styleId="Tekstpodstawowywcity">
    <w:name w:val="Body Text Indent"/>
    <w:basedOn w:val="Normalny"/>
    <w:link w:val="TekstpodstawowywcityZnak"/>
    <w:rsid w:val="00D34A9F"/>
    <w:pPr>
      <w:spacing w:after="120"/>
      <w:ind w:left="283"/>
    </w:pPr>
  </w:style>
  <w:style w:type="character" w:customStyle="1" w:styleId="TekstpodstawowywcityZnak">
    <w:name w:val="Tekst podstawowy wcięty Znak"/>
    <w:basedOn w:val="Domylnaczcionkaakapitu"/>
    <w:link w:val="Tekstpodstawowywcity"/>
    <w:rsid w:val="00D34A9F"/>
    <w:rPr>
      <w:rFonts w:ascii="Times New Roman" w:eastAsia="Times New Roman" w:hAnsi="Times New Roman" w:cs="Times New Roman"/>
      <w:sz w:val="24"/>
      <w:szCs w:val="24"/>
      <w:lang w:eastAsia="pl-PL"/>
    </w:rPr>
  </w:style>
  <w:style w:type="character" w:customStyle="1" w:styleId="Teksttreci2Candara105pt">
    <w:name w:val="Tekst treści (2) + Candara;10;5 pt"/>
    <w:rsid w:val="00D34A9F"/>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pl-PL" w:eastAsia="pl-PL" w:bidi="pl-PL"/>
    </w:rPr>
  </w:style>
  <w:style w:type="paragraph" w:styleId="Tekstpodstawowy2">
    <w:name w:val="Body Text 2"/>
    <w:basedOn w:val="Normalny"/>
    <w:link w:val="Tekstpodstawowy2Znak"/>
    <w:rsid w:val="00D34A9F"/>
    <w:pPr>
      <w:spacing w:after="120" w:line="480" w:lineRule="auto"/>
    </w:pPr>
  </w:style>
  <w:style w:type="character" w:customStyle="1" w:styleId="Tekstpodstawowy2Znak">
    <w:name w:val="Tekst podstawowy 2 Znak"/>
    <w:basedOn w:val="Domylnaczcionkaakapitu"/>
    <w:link w:val="Tekstpodstawowy2"/>
    <w:rsid w:val="00D34A9F"/>
    <w:rPr>
      <w:rFonts w:ascii="Times New Roman" w:eastAsia="Times New Roman" w:hAnsi="Times New Roman" w:cs="Times New Roman"/>
      <w:sz w:val="24"/>
      <w:szCs w:val="24"/>
      <w:lang w:eastAsia="pl-PL"/>
    </w:rPr>
  </w:style>
  <w:style w:type="paragraph" w:customStyle="1" w:styleId="TEKST0">
    <w:name w:val="TEKST"/>
    <w:link w:val="TEKSTZnak"/>
    <w:qFormat/>
    <w:rsid w:val="00D34A9F"/>
    <w:pPr>
      <w:spacing w:before="120" w:after="120" w:line="360" w:lineRule="auto"/>
      <w:ind w:firstLine="709"/>
      <w:jc w:val="both"/>
    </w:pPr>
    <w:rPr>
      <w:rFonts w:ascii="Calibri" w:eastAsia="Times New Roman" w:hAnsi="Calibri" w:cs="Times New Roman"/>
      <w:szCs w:val="24"/>
      <w:lang w:eastAsia="ar-SA"/>
    </w:rPr>
  </w:style>
  <w:style w:type="character" w:customStyle="1" w:styleId="TEKSTZnak">
    <w:name w:val="TEKST Znak"/>
    <w:link w:val="TEKST0"/>
    <w:locked/>
    <w:rsid w:val="00D34A9F"/>
    <w:rPr>
      <w:rFonts w:ascii="Calibri" w:eastAsia="Times New Roman" w:hAnsi="Calibri" w:cs="Times New Roman"/>
      <w:szCs w:val="24"/>
      <w:lang w:eastAsia="ar-SA"/>
    </w:rPr>
  </w:style>
  <w:style w:type="paragraph" w:customStyle="1" w:styleId="ALWypunktowanie">
    <w:name w:val="AL_Wypunktowanie"/>
    <w:qFormat/>
    <w:rsid w:val="00D34A9F"/>
    <w:pPr>
      <w:numPr>
        <w:numId w:val="4"/>
      </w:numPr>
      <w:spacing w:before="60" w:after="60" w:line="360" w:lineRule="auto"/>
      <w:jc w:val="both"/>
    </w:pPr>
    <w:rPr>
      <w:rFonts w:ascii="Arial" w:eastAsia="Times New Roman" w:hAnsi="Arial" w:cs="Times New Roman"/>
      <w:sz w:val="20"/>
      <w:lang w:eastAsia="ar-SA"/>
    </w:rPr>
  </w:style>
  <w:style w:type="paragraph" w:customStyle="1" w:styleId="anita2">
    <w:name w:val="anita2"/>
    <w:basedOn w:val="Normalny"/>
    <w:link w:val="anita2Znak"/>
    <w:rsid w:val="00D34A9F"/>
    <w:pPr>
      <w:suppressAutoHyphens/>
      <w:spacing w:before="120" w:line="360" w:lineRule="auto"/>
      <w:jc w:val="both"/>
    </w:pPr>
    <w:rPr>
      <w:rFonts w:eastAsia="Batang"/>
      <w:b/>
      <w:lang w:eastAsia="ar-SA"/>
    </w:rPr>
  </w:style>
  <w:style w:type="character" w:customStyle="1" w:styleId="anita2Znak">
    <w:name w:val="anita2 Znak"/>
    <w:link w:val="anita2"/>
    <w:locked/>
    <w:rsid w:val="00D34A9F"/>
    <w:rPr>
      <w:rFonts w:ascii="Times New Roman" w:eastAsia="Batang" w:hAnsi="Times New Roman" w:cs="Times New Roman"/>
      <w:b/>
      <w:sz w:val="24"/>
      <w:szCs w:val="24"/>
      <w:lang w:eastAsia="ar-SA"/>
    </w:rPr>
  </w:style>
  <w:style w:type="paragraph" w:customStyle="1" w:styleId="Standard">
    <w:name w:val="Standard"/>
    <w:link w:val="StandardZnak"/>
    <w:rsid w:val="00D34A9F"/>
    <w:pPr>
      <w:suppressAutoHyphens/>
      <w:spacing w:after="0" w:line="240" w:lineRule="auto"/>
    </w:pPr>
    <w:rPr>
      <w:rFonts w:ascii="Times New Roman" w:eastAsia="Calibri" w:hAnsi="Times New Roman" w:cs="Times New Roman"/>
      <w:sz w:val="24"/>
      <w:szCs w:val="20"/>
      <w:lang w:eastAsia="ar-SA"/>
    </w:rPr>
  </w:style>
  <w:style w:type="character" w:customStyle="1" w:styleId="WW8Num14z2">
    <w:name w:val="WW8Num14z2"/>
    <w:uiPriority w:val="99"/>
    <w:rsid w:val="00D34A9F"/>
    <w:rPr>
      <w:rFonts w:ascii="Wingdings" w:hAnsi="Wingdings"/>
    </w:rPr>
  </w:style>
  <w:style w:type="paragraph" w:customStyle="1" w:styleId="Tekstpodstawowy21">
    <w:name w:val="Tekst podstawowy 21"/>
    <w:basedOn w:val="Normalny"/>
    <w:uiPriority w:val="99"/>
    <w:rsid w:val="00D34A9F"/>
    <w:pPr>
      <w:widowControl w:val="0"/>
      <w:suppressAutoHyphens/>
      <w:spacing w:before="120" w:line="360" w:lineRule="auto"/>
      <w:jc w:val="both"/>
    </w:pPr>
    <w:rPr>
      <w:rFonts w:eastAsia="Batang"/>
      <w:sz w:val="28"/>
      <w:szCs w:val="28"/>
      <w:lang w:eastAsia="ar-SA"/>
    </w:rPr>
  </w:style>
  <w:style w:type="paragraph" w:styleId="NormalnyWeb">
    <w:name w:val="Normal (Web)"/>
    <w:aliases w:val="Normalny (Web) Znak,Normalny (Web) Znak Znak"/>
    <w:basedOn w:val="Normalny"/>
    <w:link w:val="NormalnyWebZnak1"/>
    <w:uiPriority w:val="99"/>
    <w:rsid w:val="00D34A9F"/>
    <w:pPr>
      <w:widowControl w:val="0"/>
      <w:spacing w:line="320" w:lineRule="exact"/>
      <w:jc w:val="both"/>
    </w:pPr>
    <w:rPr>
      <w:rFonts w:eastAsia="Batang"/>
      <w:lang w:eastAsia="ar-SA"/>
    </w:rPr>
  </w:style>
  <w:style w:type="character" w:customStyle="1" w:styleId="NormalnyWebZnak1">
    <w:name w:val="Normalny (Web) Znak1"/>
    <w:aliases w:val="Normalny (Web) Znak Znak1,Normalny (Web) Znak Znak Znak"/>
    <w:link w:val="NormalnyWeb"/>
    <w:uiPriority w:val="99"/>
    <w:rsid w:val="00D34A9F"/>
    <w:rPr>
      <w:rFonts w:ascii="Times New Roman" w:eastAsia="Batang" w:hAnsi="Times New Roman" w:cs="Times New Roman"/>
      <w:sz w:val="24"/>
      <w:szCs w:val="24"/>
      <w:lang w:eastAsia="ar-SA"/>
    </w:rPr>
  </w:style>
  <w:style w:type="character" w:customStyle="1" w:styleId="markedcontent">
    <w:name w:val="markedcontent"/>
    <w:rsid w:val="00D34A9F"/>
  </w:style>
  <w:style w:type="character" w:customStyle="1" w:styleId="StandardZnak">
    <w:name w:val="Standard Znak"/>
    <w:link w:val="Standard"/>
    <w:rsid w:val="00D34A9F"/>
    <w:rPr>
      <w:rFonts w:ascii="Times New Roman" w:eastAsia="Calibri"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12464</Words>
  <Characters>74787</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Aleksandra Polatowska</cp:lastModifiedBy>
  <cp:revision>2</cp:revision>
  <dcterms:created xsi:type="dcterms:W3CDTF">2022-02-09T08:08:00Z</dcterms:created>
  <dcterms:modified xsi:type="dcterms:W3CDTF">2022-02-09T08:22:00Z</dcterms:modified>
</cp:coreProperties>
</file>