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8ADD8" w14:textId="330247E3" w:rsidR="00807FFA" w:rsidRPr="00EC4D2D" w:rsidRDefault="00807FFA" w:rsidP="0096413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Z</w:t>
      </w:r>
      <w:r w:rsidR="000A56A7" w:rsidRPr="00EC4D2D">
        <w:rPr>
          <w:rFonts w:ascii="Arial" w:hAnsi="Arial" w:cs="Arial"/>
          <w:b/>
          <w:bCs/>
          <w:sz w:val="24"/>
          <w:szCs w:val="24"/>
        </w:rPr>
        <w:t>arządzenie</w:t>
      </w:r>
      <w:r w:rsidRPr="00EC4D2D">
        <w:rPr>
          <w:rFonts w:ascii="Arial" w:hAnsi="Arial" w:cs="Arial"/>
          <w:b/>
          <w:bCs/>
          <w:sz w:val="24"/>
          <w:szCs w:val="24"/>
        </w:rPr>
        <w:t xml:space="preserve"> </w:t>
      </w:r>
      <w:r w:rsidR="000A56A7" w:rsidRPr="00EC4D2D">
        <w:rPr>
          <w:rFonts w:ascii="Arial" w:hAnsi="Arial" w:cs="Arial"/>
          <w:b/>
          <w:bCs/>
          <w:sz w:val="24"/>
          <w:szCs w:val="24"/>
        </w:rPr>
        <w:t>n</w:t>
      </w:r>
      <w:r w:rsidRPr="00EC4D2D">
        <w:rPr>
          <w:rFonts w:ascii="Arial" w:hAnsi="Arial" w:cs="Arial"/>
          <w:b/>
          <w:bCs/>
          <w:sz w:val="24"/>
          <w:szCs w:val="24"/>
        </w:rPr>
        <w:t xml:space="preserve">r </w:t>
      </w:r>
      <w:r w:rsidR="00EC4D2D">
        <w:rPr>
          <w:rFonts w:ascii="Arial" w:hAnsi="Arial" w:cs="Arial"/>
          <w:b/>
          <w:bCs/>
          <w:sz w:val="24"/>
          <w:szCs w:val="24"/>
        </w:rPr>
        <w:t>117/2022</w:t>
      </w:r>
    </w:p>
    <w:p w14:paraId="5661379A" w14:textId="2D748AD7" w:rsidR="00807FFA" w:rsidRPr="00EC4D2D" w:rsidRDefault="00807FFA" w:rsidP="0096413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P</w:t>
      </w:r>
      <w:r w:rsidR="000A56A7" w:rsidRPr="00EC4D2D">
        <w:rPr>
          <w:rFonts w:ascii="Arial" w:hAnsi="Arial" w:cs="Arial"/>
          <w:b/>
          <w:bCs/>
          <w:sz w:val="24"/>
          <w:szCs w:val="24"/>
        </w:rPr>
        <w:t>rezydenta</w:t>
      </w:r>
      <w:r w:rsidRPr="00EC4D2D">
        <w:rPr>
          <w:rFonts w:ascii="Arial" w:hAnsi="Arial" w:cs="Arial"/>
          <w:b/>
          <w:bCs/>
          <w:sz w:val="24"/>
          <w:szCs w:val="24"/>
        </w:rPr>
        <w:t xml:space="preserve"> M</w:t>
      </w:r>
      <w:r w:rsidR="000A56A7" w:rsidRPr="00EC4D2D">
        <w:rPr>
          <w:rFonts w:ascii="Arial" w:hAnsi="Arial" w:cs="Arial"/>
          <w:b/>
          <w:bCs/>
          <w:sz w:val="24"/>
          <w:szCs w:val="24"/>
        </w:rPr>
        <w:t>iasta</w:t>
      </w:r>
      <w:r w:rsidRPr="00EC4D2D">
        <w:rPr>
          <w:rFonts w:ascii="Arial" w:hAnsi="Arial" w:cs="Arial"/>
          <w:b/>
          <w:bCs/>
          <w:sz w:val="24"/>
          <w:szCs w:val="24"/>
        </w:rPr>
        <w:t xml:space="preserve"> W</w:t>
      </w:r>
      <w:r w:rsidR="000A56A7" w:rsidRPr="00EC4D2D">
        <w:rPr>
          <w:rFonts w:ascii="Arial" w:hAnsi="Arial" w:cs="Arial"/>
          <w:b/>
          <w:bCs/>
          <w:sz w:val="24"/>
          <w:szCs w:val="24"/>
        </w:rPr>
        <w:t>łocławek</w:t>
      </w:r>
    </w:p>
    <w:p w14:paraId="61719101" w14:textId="61D31746" w:rsidR="00807FFA" w:rsidRPr="00EC4D2D" w:rsidRDefault="00807FFA" w:rsidP="0096413E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 xml:space="preserve">z dnia </w:t>
      </w:r>
      <w:r w:rsidR="00EC4D2D">
        <w:rPr>
          <w:rFonts w:ascii="Arial" w:hAnsi="Arial" w:cs="Arial"/>
          <w:b/>
          <w:bCs/>
          <w:sz w:val="24"/>
          <w:szCs w:val="24"/>
        </w:rPr>
        <w:t>30 marca 2022 r.</w:t>
      </w:r>
    </w:p>
    <w:p w14:paraId="28BAF6AB" w14:textId="5F628ECC" w:rsidR="00807FFA" w:rsidRPr="00EC4D2D" w:rsidRDefault="00807FFA" w:rsidP="000A56A7">
      <w:pPr>
        <w:spacing w:after="0"/>
        <w:ind w:left="4248"/>
        <w:jc w:val="both"/>
        <w:rPr>
          <w:rFonts w:ascii="Arial" w:hAnsi="Arial" w:cs="Arial"/>
          <w:sz w:val="24"/>
          <w:szCs w:val="24"/>
        </w:rPr>
      </w:pPr>
    </w:p>
    <w:p w14:paraId="630D0757" w14:textId="2C9C12F9" w:rsidR="00807FFA" w:rsidRPr="00EC4D2D" w:rsidRDefault="00807FFA" w:rsidP="00DB62B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w sprawie wprowadzenia „Wytycznych określających zalecane typy elementów stanowiących ochronę zieleńców oraz ciągów pieszych i rowerowych”.</w:t>
      </w:r>
    </w:p>
    <w:p w14:paraId="7A90AC33" w14:textId="1B2B2740" w:rsidR="00807FFA" w:rsidRPr="00EC4D2D" w:rsidRDefault="00807FFA" w:rsidP="000A56A7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618D8C81" w14:textId="657AF72F" w:rsidR="00807FFA" w:rsidRPr="00EC4D2D" w:rsidRDefault="00807FFA" w:rsidP="000A56A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Na podstawie art. 30 ust. 1 ustawy z dnia 8 marca 1990r. o samorządzie gminnym (Dz. U.</w:t>
      </w:r>
      <w:r w:rsidR="000A56A7" w:rsidRPr="00EC4D2D">
        <w:rPr>
          <w:rFonts w:ascii="Arial" w:hAnsi="Arial" w:cs="Arial"/>
          <w:sz w:val="24"/>
          <w:szCs w:val="24"/>
        </w:rPr>
        <w:t xml:space="preserve"> </w:t>
      </w:r>
      <w:r w:rsidRPr="00EC4D2D">
        <w:rPr>
          <w:rFonts w:ascii="Arial" w:hAnsi="Arial" w:cs="Arial"/>
          <w:sz w:val="24"/>
          <w:szCs w:val="24"/>
        </w:rPr>
        <w:t>z 2021 r. poz. 1372 i 1834) oraz art. 92 ust. 1 pkt. 2 i ust. 2 ustawy z dnia 5 czerwca 1998 r. o samorządzie powiatowym ( Dz. U. z 2020 r. poz. 920, 1038 i 1834)</w:t>
      </w:r>
    </w:p>
    <w:p w14:paraId="5A34F443" w14:textId="3C8B8A47" w:rsidR="00807FFA" w:rsidRPr="00EC4D2D" w:rsidRDefault="00807FFA" w:rsidP="000A56A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449AC3" w14:textId="72F203ED" w:rsidR="00807FFA" w:rsidRPr="00EC4D2D" w:rsidRDefault="00807FFA" w:rsidP="000A56A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98D9A2D" w14:textId="65308704" w:rsidR="00807FFA" w:rsidRPr="00EC4D2D" w:rsidRDefault="00856869" w:rsidP="00DB62B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z</w:t>
      </w:r>
      <w:r w:rsidR="00807FFA" w:rsidRPr="00EC4D2D">
        <w:rPr>
          <w:rFonts w:ascii="Arial" w:hAnsi="Arial" w:cs="Arial"/>
          <w:b/>
          <w:bCs/>
          <w:sz w:val="24"/>
          <w:szCs w:val="24"/>
        </w:rPr>
        <w:t>arządza</w:t>
      </w:r>
      <w:r w:rsidRPr="00EC4D2D">
        <w:rPr>
          <w:rFonts w:ascii="Arial" w:hAnsi="Arial" w:cs="Arial"/>
          <w:b/>
          <w:bCs/>
          <w:sz w:val="24"/>
          <w:szCs w:val="24"/>
        </w:rPr>
        <w:t xml:space="preserve"> się</w:t>
      </w:r>
      <w:r w:rsidR="00807FFA" w:rsidRPr="00EC4D2D">
        <w:rPr>
          <w:rFonts w:ascii="Arial" w:hAnsi="Arial" w:cs="Arial"/>
          <w:b/>
          <w:bCs/>
          <w:sz w:val="24"/>
          <w:szCs w:val="24"/>
        </w:rPr>
        <w:t>, co następuje:</w:t>
      </w:r>
    </w:p>
    <w:p w14:paraId="77A3D214" w14:textId="77777777" w:rsidR="00807FFA" w:rsidRPr="00EC4D2D" w:rsidRDefault="00807FFA" w:rsidP="000A56A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843444B" w14:textId="3969A1DD" w:rsidR="00807FFA" w:rsidRPr="00EC4D2D" w:rsidRDefault="00D37037" w:rsidP="000A56A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 xml:space="preserve">§ 1. </w:t>
      </w:r>
      <w:r w:rsidR="00791EC6" w:rsidRPr="00EC4D2D">
        <w:rPr>
          <w:rFonts w:ascii="Arial" w:hAnsi="Arial" w:cs="Arial"/>
          <w:b/>
          <w:bCs/>
          <w:sz w:val="24"/>
          <w:szCs w:val="24"/>
        </w:rPr>
        <w:t>1.</w:t>
      </w:r>
      <w:r w:rsidR="000A56A7" w:rsidRPr="00EC4D2D">
        <w:rPr>
          <w:rFonts w:ascii="Arial" w:hAnsi="Arial" w:cs="Arial"/>
          <w:sz w:val="24"/>
          <w:szCs w:val="24"/>
        </w:rPr>
        <w:t xml:space="preserve"> </w:t>
      </w:r>
      <w:r w:rsidRPr="00EC4D2D">
        <w:rPr>
          <w:rFonts w:ascii="Arial" w:hAnsi="Arial" w:cs="Arial"/>
          <w:sz w:val="24"/>
          <w:szCs w:val="24"/>
        </w:rPr>
        <w:t>Wprowadza</w:t>
      </w:r>
      <w:r w:rsidR="00856869" w:rsidRPr="00EC4D2D">
        <w:rPr>
          <w:rFonts w:ascii="Arial" w:hAnsi="Arial" w:cs="Arial"/>
          <w:sz w:val="24"/>
          <w:szCs w:val="24"/>
        </w:rPr>
        <w:t xml:space="preserve"> się do stosowania</w:t>
      </w:r>
      <w:r w:rsidRPr="00EC4D2D">
        <w:rPr>
          <w:rFonts w:ascii="Arial" w:hAnsi="Arial" w:cs="Arial"/>
          <w:sz w:val="24"/>
          <w:szCs w:val="24"/>
        </w:rPr>
        <w:t xml:space="preserve"> „Wytyczne określające zalecane typy elementów stanowiących ochronę zieleńców oraz ciągów pieszych i rowerowych”</w:t>
      </w:r>
      <w:r w:rsidR="00856869" w:rsidRPr="00EC4D2D">
        <w:rPr>
          <w:rFonts w:ascii="Arial" w:hAnsi="Arial" w:cs="Arial"/>
          <w:sz w:val="24"/>
          <w:szCs w:val="24"/>
        </w:rPr>
        <w:t>, stanowiący załącznik do zarządzenia</w:t>
      </w:r>
      <w:r w:rsidRPr="00EC4D2D">
        <w:rPr>
          <w:rFonts w:ascii="Arial" w:hAnsi="Arial" w:cs="Arial"/>
          <w:sz w:val="24"/>
          <w:szCs w:val="24"/>
        </w:rPr>
        <w:t>.</w:t>
      </w:r>
    </w:p>
    <w:p w14:paraId="24D281B2" w14:textId="4294C575" w:rsidR="00D37037" w:rsidRPr="00EC4D2D" w:rsidRDefault="00791EC6" w:rsidP="000A56A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2</w:t>
      </w:r>
      <w:r w:rsidRPr="00EC4D2D">
        <w:rPr>
          <w:rFonts w:ascii="Arial" w:hAnsi="Arial" w:cs="Arial"/>
          <w:sz w:val="24"/>
          <w:szCs w:val="24"/>
        </w:rPr>
        <w:t>. Dokument, o którym mowa w §1 ust. 1 Zarządzenia stosują wszystkie komórki organizacyjne Urzędu Miasta Włocławek, miejskie jednostki organizacyjne oraz podmioty działające na ich zlecenie przy opracowywaniu, wdrażaniu projektów inwestycji dotyczących infrastruktury drogowej oraz w ramach prac utrzymaniowych.</w:t>
      </w:r>
    </w:p>
    <w:p w14:paraId="660CB2BE" w14:textId="6067FB95" w:rsidR="00D37037" w:rsidRPr="00EC4D2D" w:rsidRDefault="00D37037" w:rsidP="000A56A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4C09387" w14:textId="102B7A6B" w:rsidR="00D37037" w:rsidRPr="00EC4D2D" w:rsidRDefault="00D37037" w:rsidP="000A56A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 xml:space="preserve">§ </w:t>
      </w:r>
      <w:r w:rsidR="00791EC6" w:rsidRPr="00EC4D2D">
        <w:rPr>
          <w:rFonts w:ascii="Arial" w:hAnsi="Arial" w:cs="Arial"/>
          <w:b/>
          <w:bCs/>
          <w:sz w:val="24"/>
          <w:szCs w:val="24"/>
        </w:rPr>
        <w:t>2</w:t>
      </w:r>
      <w:r w:rsidRPr="00EC4D2D">
        <w:rPr>
          <w:rFonts w:ascii="Arial" w:hAnsi="Arial" w:cs="Arial"/>
          <w:b/>
          <w:bCs/>
          <w:sz w:val="24"/>
          <w:szCs w:val="24"/>
        </w:rPr>
        <w:t>.</w:t>
      </w:r>
      <w:r w:rsidRPr="00EC4D2D">
        <w:rPr>
          <w:rFonts w:ascii="Arial" w:hAnsi="Arial" w:cs="Arial"/>
          <w:sz w:val="24"/>
          <w:szCs w:val="24"/>
        </w:rPr>
        <w:t xml:space="preserve"> Wykonanie zarządzenia powierza się </w:t>
      </w:r>
      <w:r w:rsidR="00791EC6" w:rsidRPr="00EC4D2D">
        <w:rPr>
          <w:rFonts w:ascii="Arial" w:hAnsi="Arial" w:cs="Arial"/>
          <w:sz w:val="24"/>
          <w:szCs w:val="24"/>
        </w:rPr>
        <w:t>Dyrektorowi Wydziału Dróg, Transportu Zbiorowego i Energii</w:t>
      </w:r>
      <w:r w:rsidRPr="00EC4D2D">
        <w:rPr>
          <w:rFonts w:ascii="Arial" w:hAnsi="Arial" w:cs="Arial"/>
          <w:sz w:val="24"/>
          <w:szCs w:val="24"/>
        </w:rPr>
        <w:t xml:space="preserve"> oraz Dyrektorowi Miejskiego Zarządu Infrastruktury Drogowej i Transportu.</w:t>
      </w:r>
    </w:p>
    <w:p w14:paraId="6C3993DD" w14:textId="77777777" w:rsidR="00D37037" w:rsidRPr="00EC4D2D" w:rsidRDefault="00D37037" w:rsidP="000A56A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C0CCE2D" w14:textId="6F0414F0" w:rsidR="00D37037" w:rsidRPr="00EC4D2D" w:rsidRDefault="00D37037" w:rsidP="000A56A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 xml:space="preserve">§ </w:t>
      </w:r>
      <w:r w:rsidR="00791EC6" w:rsidRPr="00EC4D2D">
        <w:rPr>
          <w:rFonts w:ascii="Arial" w:hAnsi="Arial" w:cs="Arial"/>
          <w:b/>
          <w:bCs/>
          <w:sz w:val="24"/>
          <w:szCs w:val="24"/>
        </w:rPr>
        <w:t>3</w:t>
      </w:r>
      <w:r w:rsidRPr="00EC4D2D">
        <w:rPr>
          <w:rFonts w:ascii="Arial" w:hAnsi="Arial" w:cs="Arial"/>
          <w:b/>
          <w:bCs/>
          <w:sz w:val="24"/>
          <w:szCs w:val="24"/>
        </w:rPr>
        <w:t>.</w:t>
      </w:r>
      <w:r w:rsidRPr="00EC4D2D">
        <w:rPr>
          <w:rFonts w:ascii="Arial" w:hAnsi="Arial" w:cs="Arial"/>
          <w:sz w:val="24"/>
          <w:szCs w:val="24"/>
        </w:rPr>
        <w:t xml:space="preserve"> Zarządzenie wchodzi w życie z dniem </w:t>
      </w:r>
      <w:r w:rsidR="00791EC6" w:rsidRPr="00EC4D2D">
        <w:rPr>
          <w:rFonts w:ascii="Arial" w:hAnsi="Arial" w:cs="Arial"/>
          <w:sz w:val="24"/>
          <w:szCs w:val="24"/>
        </w:rPr>
        <w:t>podpisania</w:t>
      </w:r>
      <w:r w:rsidRPr="00EC4D2D">
        <w:rPr>
          <w:rFonts w:ascii="Arial" w:hAnsi="Arial" w:cs="Arial"/>
          <w:sz w:val="24"/>
          <w:szCs w:val="24"/>
        </w:rPr>
        <w:t>.</w:t>
      </w:r>
    </w:p>
    <w:p w14:paraId="5FFAF953" w14:textId="3A3BCB5B" w:rsidR="00791EC6" w:rsidRPr="00EC4D2D" w:rsidRDefault="00791EC6" w:rsidP="000A56A7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2F5329C" w14:textId="0AA432A0" w:rsidR="00791EC6" w:rsidRPr="00EC4D2D" w:rsidRDefault="00791EC6" w:rsidP="000A56A7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4.</w:t>
      </w:r>
      <w:r w:rsidRPr="00EC4D2D">
        <w:rPr>
          <w:rFonts w:ascii="Arial" w:hAnsi="Arial" w:cs="Arial"/>
          <w:sz w:val="24"/>
          <w:szCs w:val="24"/>
        </w:rPr>
        <w:t xml:space="preserve"> Zarządzenie podlega podaniu do publicznej wiadomości przez ogłoszenie w Biuletynie Informacji Publicznej Urzędu Miasta Włocławek.</w:t>
      </w:r>
    </w:p>
    <w:p w14:paraId="17110A3F" w14:textId="77777777" w:rsidR="00807FFA" w:rsidRPr="00EC4D2D" w:rsidRDefault="00807FFA" w:rsidP="000A56A7">
      <w:pPr>
        <w:spacing w:after="0"/>
        <w:ind w:left="4248"/>
        <w:jc w:val="both"/>
        <w:rPr>
          <w:rFonts w:ascii="Arial" w:hAnsi="Arial" w:cs="Arial"/>
          <w:sz w:val="24"/>
          <w:szCs w:val="24"/>
        </w:rPr>
      </w:pPr>
    </w:p>
    <w:p w14:paraId="63CA7DBD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3271AF32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1149B34A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0304B081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5B5FD538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03A3D28F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03410434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07CD7FFB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0B0FFB97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7595AD4F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05FB27EA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4A2C529B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75F2042C" w14:textId="77777777" w:rsidR="00807FFA" w:rsidRPr="00EC4D2D" w:rsidRDefault="00807FFA" w:rsidP="00B0520A">
      <w:pPr>
        <w:spacing w:after="0"/>
        <w:ind w:left="4248"/>
        <w:rPr>
          <w:rFonts w:ascii="Arial" w:hAnsi="Arial" w:cs="Arial"/>
          <w:sz w:val="24"/>
          <w:szCs w:val="24"/>
        </w:rPr>
      </w:pPr>
    </w:p>
    <w:p w14:paraId="5037B0BA" w14:textId="24736252" w:rsidR="00807FFA" w:rsidRPr="00EC4D2D" w:rsidRDefault="00807FFA" w:rsidP="00D37037">
      <w:pPr>
        <w:spacing w:after="0" w:line="276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798F9EC1" w14:textId="77777777" w:rsidR="000A56A7" w:rsidRPr="00EC4D2D" w:rsidRDefault="000A56A7" w:rsidP="00D37037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7605732" w14:textId="33BBF969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Uzasadnienie</w:t>
      </w:r>
    </w:p>
    <w:p w14:paraId="1B54940C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6B79B5E5" w14:textId="41AC1952" w:rsidR="0096413E" w:rsidRPr="00EC4D2D" w:rsidRDefault="0096413E" w:rsidP="00326FC8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Niniejszy dokument jest zbiorem wytycznych zawierających rozwiązania lub elementy stanowiące fizyczne bariery ochrony zieleńców, ciągów pieszych oraz rowerowych przed ruchem pojazdów samochodowych. Jego zapisy są wynikiem starań samorządu w usprawnieniu oraz ukierunkowaniu należytych norm, które mają wzmocnić bezpieczeństwo i komfort niechronionych uczestników ruchu drogowego oraz poprawę stanu roślinności zlokalizowanej w pasach drogowych</w:t>
      </w:r>
      <w:r w:rsidR="00113B81" w:rsidRPr="00EC4D2D">
        <w:rPr>
          <w:rFonts w:ascii="Arial" w:hAnsi="Arial" w:cs="Arial"/>
          <w:sz w:val="24"/>
          <w:szCs w:val="24"/>
        </w:rPr>
        <w:t>, stanowiących obszary biologicznie czynne pomagające w retencji wód opadowych. Należyty stan zieleńców jest niezbędny przy wykorzystywania ich do skutecznego sposobu odprowadzania i retencji wód opadowych</w:t>
      </w:r>
      <w:r w:rsidR="00326FC8" w:rsidRPr="00EC4D2D">
        <w:rPr>
          <w:rFonts w:ascii="Arial" w:hAnsi="Arial" w:cs="Arial"/>
          <w:sz w:val="24"/>
          <w:szCs w:val="24"/>
        </w:rPr>
        <w:t xml:space="preserve"> </w:t>
      </w:r>
      <w:r w:rsidR="00113B81" w:rsidRPr="00EC4D2D">
        <w:rPr>
          <w:rFonts w:ascii="Arial" w:hAnsi="Arial" w:cs="Arial"/>
          <w:sz w:val="24"/>
          <w:szCs w:val="24"/>
        </w:rPr>
        <w:t xml:space="preserve">z terenów pasów drogowych. Dokument stanowiący lokalne prawo, jest obligatoryjny dla projektantów i wykonawców wszystkich planowanych odtąd inwestycji związanych z infrastrukturą drogową. </w:t>
      </w:r>
    </w:p>
    <w:p w14:paraId="47C922D8" w14:textId="0A4A983B" w:rsidR="00113B81" w:rsidRPr="00EC4D2D" w:rsidRDefault="00113B81" w:rsidP="00326FC8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6ABEC827" w14:textId="2A1CDA17" w:rsidR="00113B81" w:rsidRPr="00EC4D2D" w:rsidRDefault="00113B81" w:rsidP="00326FC8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W związku z powyższym, mając także na uwadze słuszną konieczność poprawy bezpieczeństwa niechronionych uczestników ruchu drogowego oraz zwiększenia znaczenia retencji wód opadowych poprzez obszary biologicznie czynne, które to działanie wpisuję się w podwyższanie świadomości</w:t>
      </w:r>
      <w:r w:rsidR="00EC4D2D">
        <w:rPr>
          <w:rFonts w:ascii="Arial" w:hAnsi="Arial" w:cs="Arial"/>
          <w:sz w:val="24"/>
          <w:szCs w:val="24"/>
        </w:rPr>
        <w:t xml:space="preserve"> </w:t>
      </w:r>
      <w:r w:rsidRPr="00EC4D2D">
        <w:rPr>
          <w:rFonts w:ascii="Arial" w:hAnsi="Arial" w:cs="Arial"/>
          <w:sz w:val="24"/>
          <w:szCs w:val="24"/>
        </w:rPr>
        <w:t>i realnych działań w zakresie przeciwdziałania zmianom klimatu</w:t>
      </w:r>
      <w:r w:rsidR="00326FC8" w:rsidRPr="00EC4D2D">
        <w:rPr>
          <w:rFonts w:ascii="Arial" w:hAnsi="Arial" w:cs="Arial"/>
          <w:sz w:val="24"/>
          <w:szCs w:val="24"/>
        </w:rPr>
        <w:t>, podjęcie niniejszego Zarządzenia jest w pełni umotywowane.</w:t>
      </w:r>
    </w:p>
    <w:p w14:paraId="47BF32D1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54DF2385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5113CEEF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313F4E13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5B4E8CD1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2E938E5B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512F898B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044274AD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278A37A3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1C588663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2070C0E6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737D10B2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4A21D06F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32ABFDA5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0D906335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1FF93526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505E897F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4E4F0DB3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65F81C45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0674E817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5185B46D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4DE63D7B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40A402DF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2CA18AE3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31C5194A" w14:textId="77777777" w:rsidR="0096413E" w:rsidRPr="00EC4D2D" w:rsidRDefault="0096413E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</w:p>
    <w:p w14:paraId="2C047E25" w14:textId="025441EC" w:rsidR="0096413E" w:rsidRPr="00EC4D2D" w:rsidRDefault="0096413E" w:rsidP="00326FC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7571BA1F" w14:textId="77777777" w:rsidR="00326FC8" w:rsidRPr="00EC4D2D" w:rsidRDefault="00326FC8" w:rsidP="00326FC8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0E5174E" w14:textId="672524A6" w:rsidR="008116B3" w:rsidRPr="00EC4D2D" w:rsidRDefault="00B0520A" w:rsidP="00D37037">
      <w:pPr>
        <w:spacing w:after="0" w:line="276" w:lineRule="auto"/>
        <w:ind w:left="4248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 xml:space="preserve">Załącznik do </w:t>
      </w:r>
      <w:r w:rsidR="00791EC6" w:rsidRPr="00EC4D2D">
        <w:rPr>
          <w:rFonts w:ascii="Arial" w:hAnsi="Arial" w:cs="Arial"/>
          <w:sz w:val="24"/>
          <w:szCs w:val="24"/>
        </w:rPr>
        <w:t>Z</w:t>
      </w:r>
      <w:r w:rsidRPr="00EC4D2D">
        <w:rPr>
          <w:rFonts w:ascii="Arial" w:hAnsi="Arial" w:cs="Arial"/>
          <w:sz w:val="24"/>
          <w:szCs w:val="24"/>
        </w:rPr>
        <w:t xml:space="preserve">arządzenia nr </w:t>
      </w:r>
      <w:r w:rsidR="00662F9C">
        <w:rPr>
          <w:rFonts w:ascii="Arial" w:hAnsi="Arial" w:cs="Arial"/>
          <w:sz w:val="24"/>
          <w:szCs w:val="24"/>
        </w:rPr>
        <w:t>117/2022</w:t>
      </w:r>
    </w:p>
    <w:p w14:paraId="27853AEB" w14:textId="4D1F3E1C" w:rsidR="00B0520A" w:rsidRPr="00EC4D2D" w:rsidRDefault="00B0520A" w:rsidP="00D37037">
      <w:pPr>
        <w:spacing w:after="0" w:line="276" w:lineRule="auto"/>
        <w:ind w:left="3540" w:firstLine="708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Prezydenta Miasta Włocławek</w:t>
      </w:r>
    </w:p>
    <w:p w14:paraId="429E9FDF" w14:textId="4CAF1A1D" w:rsidR="00B0520A" w:rsidRPr="00EC4D2D" w:rsidRDefault="00B0520A" w:rsidP="00D37037">
      <w:pPr>
        <w:spacing w:after="0" w:line="276" w:lineRule="auto"/>
        <w:ind w:left="3540" w:firstLine="708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 xml:space="preserve">z dnia </w:t>
      </w:r>
      <w:r w:rsidR="00662F9C">
        <w:rPr>
          <w:rFonts w:ascii="Arial" w:hAnsi="Arial" w:cs="Arial"/>
          <w:sz w:val="24"/>
          <w:szCs w:val="24"/>
        </w:rPr>
        <w:t>30 marca 2022 r.</w:t>
      </w:r>
    </w:p>
    <w:p w14:paraId="70D616F4" w14:textId="603B7BF6" w:rsidR="00B0520A" w:rsidRPr="00EC4D2D" w:rsidRDefault="00B0520A" w:rsidP="00B0520A">
      <w:pPr>
        <w:spacing w:after="0"/>
        <w:ind w:left="3540" w:firstLine="708"/>
        <w:rPr>
          <w:rFonts w:ascii="Arial" w:hAnsi="Arial" w:cs="Arial"/>
          <w:sz w:val="24"/>
          <w:szCs w:val="24"/>
        </w:rPr>
      </w:pPr>
    </w:p>
    <w:p w14:paraId="4856787F" w14:textId="77777777" w:rsidR="00B0520A" w:rsidRPr="00EC4D2D" w:rsidRDefault="00B0520A" w:rsidP="00B0520A">
      <w:pPr>
        <w:spacing w:after="0"/>
        <w:rPr>
          <w:rFonts w:ascii="Arial" w:hAnsi="Arial" w:cs="Arial"/>
          <w:sz w:val="24"/>
          <w:szCs w:val="24"/>
        </w:rPr>
      </w:pPr>
    </w:p>
    <w:p w14:paraId="4A1F3C9D" w14:textId="3F2D04E4" w:rsidR="00B0520A" w:rsidRPr="00EC4D2D" w:rsidRDefault="00B0520A" w:rsidP="00B0520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WYTYCZNE OKREŚLAJĄCE ZALECANE TYPY ELEMENTÓW STANOWIĄCYCH OCHRONĘ ZIELEŃCÓW ORAZ CIĄGÓW PIESZYCH I ROWEROWYCH</w:t>
      </w:r>
    </w:p>
    <w:p w14:paraId="3D216D6E" w14:textId="466FDD31" w:rsidR="00B0520A" w:rsidRPr="00EC4D2D" w:rsidRDefault="00B0520A" w:rsidP="00B0520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C857E89" w14:textId="38543087" w:rsidR="00B0520A" w:rsidRPr="00EC4D2D" w:rsidRDefault="00B0520A" w:rsidP="00B0520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0D66DF5" w14:textId="25D1FDFE" w:rsidR="00B0520A" w:rsidRPr="00EC4D2D" w:rsidRDefault="00B0520A" w:rsidP="00B0520A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Rozdział 1</w:t>
      </w:r>
    </w:p>
    <w:p w14:paraId="0409CC86" w14:textId="2EA8BC0E" w:rsidR="00B0520A" w:rsidRPr="00EC4D2D" w:rsidRDefault="00B0520A" w:rsidP="00B0520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ZASADY OGÓLNE</w:t>
      </w:r>
    </w:p>
    <w:p w14:paraId="1A431F3C" w14:textId="1C11F27A" w:rsidR="00B0520A" w:rsidRPr="00EC4D2D" w:rsidRDefault="00B0520A" w:rsidP="00AE7434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778FF634" w14:textId="6BFB21F2" w:rsidR="00B0520A" w:rsidRPr="00EC4D2D" w:rsidRDefault="00B0520A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</w:t>
      </w:r>
      <w:r w:rsidR="00F8221D" w:rsidRPr="00EC4D2D">
        <w:rPr>
          <w:rFonts w:ascii="Arial" w:hAnsi="Arial" w:cs="Arial"/>
          <w:b/>
          <w:bCs/>
          <w:sz w:val="24"/>
          <w:szCs w:val="24"/>
        </w:rPr>
        <w:t xml:space="preserve"> </w:t>
      </w:r>
      <w:r w:rsidRPr="00EC4D2D">
        <w:rPr>
          <w:rFonts w:ascii="Arial" w:hAnsi="Arial" w:cs="Arial"/>
          <w:b/>
          <w:bCs/>
          <w:sz w:val="24"/>
          <w:szCs w:val="24"/>
        </w:rPr>
        <w:t>1. 1.</w:t>
      </w:r>
      <w:r w:rsidRPr="00EC4D2D">
        <w:rPr>
          <w:rFonts w:ascii="Arial" w:hAnsi="Arial" w:cs="Arial"/>
          <w:sz w:val="24"/>
          <w:szCs w:val="24"/>
        </w:rPr>
        <w:t xml:space="preserve"> Niniejsze wytyczne mają charakter ramowy i określają zalecane typy elementów ochrony zieleńców oraz ciągów pieszych i rowerowych </w:t>
      </w:r>
      <w:r w:rsidR="00F8221D" w:rsidRPr="00EC4D2D">
        <w:rPr>
          <w:rFonts w:ascii="Arial" w:hAnsi="Arial" w:cs="Arial"/>
          <w:sz w:val="24"/>
          <w:szCs w:val="24"/>
        </w:rPr>
        <w:t>stosowane w celu przeciwdziałania zniszczeniu przez pieszych i pojazdy, zwane dalej elementami separującymi.</w:t>
      </w:r>
    </w:p>
    <w:p w14:paraId="021BAAFC" w14:textId="044C617A" w:rsidR="00F8221D" w:rsidRPr="00EC4D2D" w:rsidRDefault="00F8221D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2.</w:t>
      </w:r>
      <w:r w:rsidRPr="00EC4D2D">
        <w:rPr>
          <w:rFonts w:ascii="Arial" w:hAnsi="Arial" w:cs="Arial"/>
          <w:sz w:val="24"/>
          <w:szCs w:val="24"/>
        </w:rPr>
        <w:t xml:space="preserve"> Przez ciągi piesze i rowerowe należy rozumieć wszelkie formy ciągów komunikacyjnych przewidzianych do użytku przez pieszych i rowerzystów zgodnie z ustawą </w:t>
      </w:r>
      <w:r w:rsidR="00AE7434" w:rsidRPr="00EC4D2D">
        <w:rPr>
          <w:rFonts w:ascii="Arial" w:hAnsi="Arial" w:cs="Arial"/>
          <w:sz w:val="24"/>
          <w:szCs w:val="24"/>
        </w:rPr>
        <w:t xml:space="preserve">          </w:t>
      </w:r>
      <w:r w:rsidRPr="00EC4D2D">
        <w:rPr>
          <w:rFonts w:ascii="Arial" w:hAnsi="Arial" w:cs="Arial"/>
          <w:sz w:val="24"/>
          <w:szCs w:val="24"/>
        </w:rPr>
        <w:t>z dnia 20 czerwca 1997r. – Prawo o ruchu drogowym (Dz. U. z 2021r. poz. 450, 54, 463, 694, 720, 1517 i 1997)</w:t>
      </w:r>
    </w:p>
    <w:p w14:paraId="3284C894" w14:textId="1AAE9DBE" w:rsidR="00F8221D" w:rsidRPr="00EC4D2D" w:rsidRDefault="00F8221D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2.</w:t>
      </w:r>
      <w:r w:rsidRPr="00EC4D2D">
        <w:rPr>
          <w:rFonts w:ascii="Arial" w:hAnsi="Arial" w:cs="Arial"/>
          <w:sz w:val="24"/>
          <w:szCs w:val="24"/>
        </w:rPr>
        <w:t xml:space="preserve"> Niniejsze wytyczne stosuję się wyłącznie w zakresie zgodnym z postanowieniami nadrzędnych aktów prawnych, w szczególności z ustawą z dnia 20 czerwca 1997r. – Prawo</w:t>
      </w:r>
      <w:r w:rsidR="00AE7434" w:rsidRPr="00EC4D2D">
        <w:rPr>
          <w:rFonts w:ascii="Arial" w:hAnsi="Arial" w:cs="Arial"/>
          <w:sz w:val="24"/>
          <w:szCs w:val="24"/>
        </w:rPr>
        <w:t xml:space="preserve"> </w:t>
      </w:r>
      <w:r w:rsidRPr="00EC4D2D">
        <w:rPr>
          <w:rFonts w:ascii="Arial" w:hAnsi="Arial" w:cs="Arial"/>
          <w:sz w:val="24"/>
          <w:szCs w:val="24"/>
        </w:rPr>
        <w:t>o ruchu drogowym i ustawą z dnia 7 lipca 1994r. – Prawo budowlane (Dz. U. 2020r. poz. 1333).</w:t>
      </w:r>
    </w:p>
    <w:p w14:paraId="13D38BCC" w14:textId="5AFFC931" w:rsidR="00F8221D" w:rsidRPr="00EC4D2D" w:rsidRDefault="00F8221D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3.</w:t>
      </w:r>
      <w:r w:rsidRPr="00EC4D2D">
        <w:rPr>
          <w:rFonts w:ascii="Arial" w:hAnsi="Arial" w:cs="Arial"/>
          <w:sz w:val="24"/>
          <w:szCs w:val="24"/>
        </w:rPr>
        <w:t xml:space="preserve"> Wytyczne stosuje się na terenie miasta Włocławek, na wszystkich etapach przygotowania i realizacji inwestycji oraz w ramach prowadzenia prac utrzymaniowych, </w:t>
      </w:r>
      <w:r w:rsidR="00AE7434" w:rsidRPr="00EC4D2D">
        <w:rPr>
          <w:rFonts w:ascii="Arial" w:hAnsi="Arial" w:cs="Arial"/>
          <w:sz w:val="24"/>
          <w:szCs w:val="24"/>
        </w:rPr>
        <w:t xml:space="preserve">                    </w:t>
      </w:r>
      <w:r w:rsidRPr="00EC4D2D">
        <w:rPr>
          <w:rFonts w:ascii="Arial" w:hAnsi="Arial" w:cs="Arial"/>
          <w:sz w:val="24"/>
          <w:szCs w:val="24"/>
        </w:rPr>
        <w:t xml:space="preserve">w przestrzeniach o charakterze publicznym, gdzie występują ogólnodostępne ciągi komunikacyjne. </w:t>
      </w:r>
    </w:p>
    <w:p w14:paraId="21D64388" w14:textId="1A35EE53" w:rsidR="00AE7434" w:rsidRPr="00EC4D2D" w:rsidRDefault="00AE7434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4.</w:t>
      </w:r>
      <w:r w:rsidRPr="00EC4D2D">
        <w:rPr>
          <w:rFonts w:ascii="Arial" w:hAnsi="Arial" w:cs="Arial"/>
          <w:sz w:val="24"/>
          <w:szCs w:val="24"/>
        </w:rPr>
        <w:t xml:space="preserve"> W przypadku inwestycji rozpoczętych należy dążyć do wprowadzenia niniejszych postanowień, mając jednocześnie na względzie uwarunkowania wynikające z podjętych przez miasto Włocławek zobowiązań i zawartych umów, w szczególności pod kątem postanowień odnośnie finansowania i trwałości projektów. </w:t>
      </w:r>
    </w:p>
    <w:p w14:paraId="2204AD1D" w14:textId="0D7CE27C" w:rsidR="00AE7434" w:rsidRPr="00EC4D2D" w:rsidRDefault="00AE7434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</w:t>
      </w:r>
      <w:r w:rsidR="000A56A7" w:rsidRPr="00EC4D2D">
        <w:rPr>
          <w:rFonts w:ascii="Arial" w:hAnsi="Arial" w:cs="Arial"/>
          <w:b/>
          <w:bCs/>
          <w:sz w:val="24"/>
          <w:szCs w:val="24"/>
        </w:rPr>
        <w:t xml:space="preserve"> </w:t>
      </w:r>
      <w:r w:rsidRPr="00EC4D2D">
        <w:rPr>
          <w:rFonts w:ascii="Arial" w:hAnsi="Arial" w:cs="Arial"/>
          <w:b/>
          <w:bCs/>
          <w:sz w:val="24"/>
          <w:szCs w:val="24"/>
        </w:rPr>
        <w:t>5.</w:t>
      </w:r>
      <w:r w:rsidRPr="00EC4D2D">
        <w:rPr>
          <w:rFonts w:ascii="Arial" w:hAnsi="Arial" w:cs="Arial"/>
          <w:sz w:val="24"/>
          <w:szCs w:val="24"/>
        </w:rPr>
        <w:t xml:space="preserve"> Jednostka realizująca projekt powinna każdorazowo ocenić zasadność, wprowadzenia elementów separujących. Efektem oceny powinno być wskazanie zastosowania jednego lub kilku zalecanych elementów separujących lub zaniechanie ich wprowadzenia.</w:t>
      </w:r>
    </w:p>
    <w:p w14:paraId="01A36C6E" w14:textId="277547E9" w:rsidR="00AE7434" w:rsidRPr="00EC4D2D" w:rsidRDefault="00AE7434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6.</w:t>
      </w:r>
      <w:r w:rsidRPr="00EC4D2D">
        <w:rPr>
          <w:rFonts w:ascii="Arial" w:hAnsi="Arial" w:cs="Arial"/>
          <w:sz w:val="24"/>
          <w:szCs w:val="24"/>
        </w:rPr>
        <w:t xml:space="preserve"> Istniejące elementy separujące niespełniające niniejszych wytycznych,                               w przypadku złego stanu technicznego i estetycznego, należy zdemontować. W przypadku demontażu należy dokonać oceny zasadności wprowadzenia elementów ochrony zgodnie              z </w:t>
      </w:r>
      <w:r w:rsidRPr="00EC4D2D">
        <w:rPr>
          <w:rFonts w:ascii="Arial" w:hAnsi="Arial" w:cs="Arial"/>
          <w:b/>
          <w:bCs/>
          <w:sz w:val="24"/>
          <w:szCs w:val="24"/>
        </w:rPr>
        <w:t>§ 5</w:t>
      </w:r>
      <w:r w:rsidRPr="00EC4D2D">
        <w:rPr>
          <w:rFonts w:ascii="Arial" w:hAnsi="Arial" w:cs="Arial"/>
          <w:sz w:val="24"/>
          <w:szCs w:val="24"/>
        </w:rPr>
        <w:t>.</w:t>
      </w:r>
    </w:p>
    <w:p w14:paraId="59548824" w14:textId="29B687F5" w:rsidR="00AE7434" w:rsidRPr="00EC4D2D" w:rsidRDefault="00AE7434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lastRenderedPageBreak/>
        <w:t>§ 7. 1.</w:t>
      </w:r>
      <w:r w:rsidRPr="00EC4D2D">
        <w:rPr>
          <w:rFonts w:ascii="Arial" w:hAnsi="Arial" w:cs="Arial"/>
          <w:sz w:val="24"/>
          <w:szCs w:val="24"/>
        </w:rPr>
        <w:t xml:space="preserve"> Elementy separujące przewidziane do zastosowania należy uzgodnić co do formy i lokalizacji w Miejskim Zarządzie Infrastruktury Drogowej i Transportu we Włocławku.</w:t>
      </w:r>
    </w:p>
    <w:p w14:paraId="5A8A9D91" w14:textId="69015C60" w:rsidR="00AE7434" w:rsidRPr="00EC4D2D" w:rsidRDefault="00AE7434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2.</w:t>
      </w:r>
      <w:r w:rsidRPr="00EC4D2D">
        <w:rPr>
          <w:rFonts w:ascii="Arial" w:hAnsi="Arial" w:cs="Arial"/>
          <w:sz w:val="24"/>
          <w:szCs w:val="24"/>
        </w:rPr>
        <w:t xml:space="preserve"> Miejski Zarząd Infrastruktury Drogowej i Transportu we Włocławku                                         w uzasadnionych przypadkach, może dopuścić do stosowania elementy separujące niezgodne z niniejszymi wytycznymi.</w:t>
      </w:r>
    </w:p>
    <w:p w14:paraId="18947EBC" w14:textId="77777777" w:rsidR="001F4EEC" w:rsidRPr="00EC4D2D" w:rsidRDefault="00AE7434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3.</w:t>
      </w:r>
      <w:r w:rsidRPr="00EC4D2D">
        <w:rPr>
          <w:rFonts w:ascii="Arial" w:hAnsi="Arial" w:cs="Arial"/>
          <w:sz w:val="24"/>
          <w:szCs w:val="24"/>
        </w:rPr>
        <w:t xml:space="preserve"> Uzgodnienie, o którym mowa w ust. 1, nie zwalnia z uzyskania </w:t>
      </w:r>
      <w:r w:rsidR="001F4EEC" w:rsidRPr="00EC4D2D">
        <w:rPr>
          <w:rFonts w:ascii="Arial" w:hAnsi="Arial" w:cs="Arial"/>
          <w:sz w:val="24"/>
          <w:szCs w:val="24"/>
        </w:rPr>
        <w:t>opinii i zgód wymaganych przepisami odrębnymi.</w:t>
      </w:r>
    </w:p>
    <w:p w14:paraId="79CE8DB1" w14:textId="77777777" w:rsidR="001F4EEC" w:rsidRPr="00EC4D2D" w:rsidRDefault="001F4EEC" w:rsidP="00AE7434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7A4EF4EA" w14:textId="6696B388" w:rsidR="00AE7434" w:rsidRPr="00EC4D2D" w:rsidRDefault="001F4EEC" w:rsidP="001F4EEC">
      <w:pPr>
        <w:spacing w:after="0"/>
        <w:ind w:firstLine="708"/>
        <w:jc w:val="center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Rozdział 2</w:t>
      </w:r>
    </w:p>
    <w:p w14:paraId="3E72628A" w14:textId="385A467D" w:rsidR="001F4EEC" w:rsidRPr="00EC4D2D" w:rsidRDefault="00900C6E" w:rsidP="001F4EEC">
      <w:pPr>
        <w:spacing w:after="0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WYTYCZNE</w:t>
      </w:r>
    </w:p>
    <w:p w14:paraId="7A4EE892" w14:textId="403D2DF6" w:rsidR="00900C6E" w:rsidRPr="00EC4D2D" w:rsidRDefault="00900C6E" w:rsidP="00C9448A">
      <w:pPr>
        <w:spacing w:after="0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14:paraId="06191934" w14:textId="74767DC7" w:rsidR="00900C6E" w:rsidRPr="00EC4D2D" w:rsidRDefault="00C764D4" w:rsidP="00C944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ab/>
        <w:t>§ 8.</w:t>
      </w:r>
      <w:r w:rsidRPr="00EC4D2D">
        <w:rPr>
          <w:rFonts w:ascii="Arial" w:hAnsi="Arial" w:cs="Arial"/>
          <w:sz w:val="24"/>
          <w:szCs w:val="24"/>
        </w:rPr>
        <w:t xml:space="preserve"> Należy wyeliminować stosowanie niskich barierek chroniących zieleńce, </w:t>
      </w:r>
      <w:r w:rsidR="00C9448A" w:rsidRPr="00EC4D2D">
        <w:rPr>
          <w:rFonts w:ascii="Arial" w:hAnsi="Arial" w:cs="Arial"/>
          <w:sz w:val="24"/>
          <w:szCs w:val="24"/>
        </w:rPr>
        <w:t xml:space="preserve">                       </w:t>
      </w:r>
      <w:r w:rsidRPr="00EC4D2D">
        <w:rPr>
          <w:rFonts w:ascii="Arial" w:hAnsi="Arial" w:cs="Arial"/>
          <w:sz w:val="24"/>
          <w:szCs w:val="24"/>
        </w:rPr>
        <w:t>o wysokości mniejszej niż 60 cm ponad powierzchnię chodnika / jezdni.</w:t>
      </w:r>
    </w:p>
    <w:p w14:paraId="486EAC71" w14:textId="37A895B7" w:rsidR="00C764D4" w:rsidRPr="00EC4D2D" w:rsidRDefault="00C764D4" w:rsidP="00C944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ab/>
      </w:r>
      <w:r w:rsidRPr="00EC4D2D">
        <w:rPr>
          <w:rFonts w:ascii="Arial" w:hAnsi="Arial" w:cs="Arial"/>
          <w:b/>
          <w:bCs/>
          <w:sz w:val="24"/>
          <w:szCs w:val="24"/>
        </w:rPr>
        <w:t>§ 9.</w:t>
      </w:r>
      <w:r w:rsidRPr="00EC4D2D">
        <w:rPr>
          <w:rFonts w:ascii="Arial" w:hAnsi="Arial" w:cs="Arial"/>
          <w:sz w:val="24"/>
          <w:szCs w:val="24"/>
        </w:rPr>
        <w:t xml:space="preserve"> W celu ochrony zieleńców oraz ciągów pieszych i rowerowych, w pierwszej kolejności, należy stosować zalecane elementy separujące, o których mowa w </w:t>
      </w:r>
      <w:r w:rsidRPr="00EC4D2D">
        <w:rPr>
          <w:rFonts w:ascii="Arial" w:hAnsi="Arial" w:cs="Arial"/>
          <w:b/>
          <w:bCs/>
          <w:sz w:val="24"/>
          <w:szCs w:val="24"/>
        </w:rPr>
        <w:t>§ 18</w:t>
      </w:r>
      <w:r w:rsidRPr="00EC4D2D">
        <w:rPr>
          <w:rFonts w:ascii="Arial" w:hAnsi="Arial" w:cs="Arial"/>
          <w:sz w:val="24"/>
          <w:szCs w:val="24"/>
        </w:rPr>
        <w:t>.</w:t>
      </w:r>
    </w:p>
    <w:p w14:paraId="1EF2CB33" w14:textId="44B90DB9" w:rsidR="00C764D4" w:rsidRPr="00EC4D2D" w:rsidRDefault="00C764D4" w:rsidP="00C944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ab/>
      </w:r>
      <w:r w:rsidRPr="00EC4D2D">
        <w:rPr>
          <w:rFonts w:ascii="Arial" w:hAnsi="Arial" w:cs="Arial"/>
          <w:b/>
          <w:bCs/>
          <w:sz w:val="24"/>
          <w:szCs w:val="24"/>
        </w:rPr>
        <w:t>§ 10.</w:t>
      </w:r>
      <w:r w:rsidRPr="00EC4D2D">
        <w:rPr>
          <w:rFonts w:ascii="Arial" w:hAnsi="Arial" w:cs="Arial"/>
          <w:sz w:val="24"/>
          <w:szCs w:val="24"/>
        </w:rPr>
        <w:t xml:space="preserve"> W celu ochrony przed zadeptywaniem zieleńców, zagospodarowanie terenu należy projektować tak, aby długie pasma zieleńców nie stanowiły przeszkody w naturalnych drogach komunikacji.  W szczególności należy zapewnić przejście pomiędzy miejscami postojowymi a ciągami pieszymi i pieszo – rowerowymi.</w:t>
      </w:r>
    </w:p>
    <w:p w14:paraId="0A5040AA" w14:textId="2B6328B2" w:rsidR="00C764D4" w:rsidRPr="00EC4D2D" w:rsidRDefault="00C764D4" w:rsidP="00C9448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ab/>
      </w:r>
      <w:r w:rsidRPr="00EC4D2D">
        <w:rPr>
          <w:rFonts w:ascii="Arial" w:hAnsi="Arial" w:cs="Arial"/>
          <w:b/>
          <w:bCs/>
          <w:sz w:val="24"/>
          <w:szCs w:val="24"/>
        </w:rPr>
        <w:t>§ 11.</w:t>
      </w:r>
      <w:r w:rsidRPr="00EC4D2D">
        <w:rPr>
          <w:rFonts w:ascii="Arial" w:hAnsi="Arial" w:cs="Arial"/>
          <w:sz w:val="24"/>
          <w:szCs w:val="24"/>
        </w:rPr>
        <w:t xml:space="preserve"> Projektowane zagospodarowanie terenu powinno zapewniać ochronę zieleńców poprzez zastosowanie jednego z poniższych rozwiązań:</w:t>
      </w:r>
    </w:p>
    <w:p w14:paraId="161CF960" w14:textId="16CB8B3C" w:rsidR="00C764D4" w:rsidRPr="00EC4D2D" w:rsidRDefault="00C764D4" w:rsidP="00C9448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Eliminacja możliwości przekroczenia nawisem pojazdu granicy zieleńca;</w:t>
      </w:r>
    </w:p>
    <w:p w14:paraId="19A94063" w14:textId="3252DAD4" w:rsidR="00C764D4" w:rsidRPr="00EC4D2D" w:rsidRDefault="00C764D4" w:rsidP="00C9448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Obniżenie poziomu zieleńca względem niwelety ciągów komunikacyjnych;</w:t>
      </w:r>
    </w:p>
    <w:p w14:paraId="2CDCAE87" w14:textId="2D9FEB2D" w:rsidR="00C764D4" w:rsidRPr="00EC4D2D" w:rsidRDefault="00C764D4" w:rsidP="00C9448A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Wprowadzenie w strefie ok. 50 cm od skraju zieleńca roślinności, która będzie niewrażliwa na najechanie przednim lub tylnym nawisem pojazdu.</w:t>
      </w:r>
    </w:p>
    <w:p w14:paraId="6B0DE893" w14:textId="6AC9A52E" w:rsidR="00C764D4" w:rsidRPr="00EC4D2D" w:rsidRDefault="00C764D4" w:rsidP="00C9448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4D2CF3E" w14:textId="295D1CF0" w:rsidR="00C764D4" w:rsidRPr="00EC4D2D" w:rsidRDefault="00C764D4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12.</w:t>
      </w:r>
      <w:r w:rsidRPr="00EC4D2D">
        <w:rPr>
          <w:rFonts w:ascii="Arial" w:hAnsi="Arial" w:cs="Arial"/>
          <w:sz w:val="24"/>
          <w:szCs w:val="24"/>
        </w:rPr>
        <w:t xml:space="preserve"> Elementy separujące, za wyjątkiem roślinności, należy montować w nawierzchni utwardzonej. Dopuszcza się odstępstwo od tej reguły, w przypadku uzasadnionych względami technicznymi, prawnymi lub funkcjonalnymi oraz lepszą ochroną zieleni.</w:t>
      </w:r>
    </w:p>
    <w:p w14:paraId="742BFDEC" w14:textId="76962F42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13.</w:t>
      </w:r>
      <w:r w:rsidRPr="00EC4D2D">
        <w:rPr>
          <w:rFonts w:ascii="Arial" w:hAnsi="Arial" w:cs="Arial"/>
          <w:sz w:val="24"/>
          <w:szCs w:val="24"/>
        </w:rPr>
        <w:t xml:space="preserve"> Elementy separujące powinny być lokalizowane i montowane ze szczególną dbałością o istniejącą roślinność, w szczególności w zakresie ochrony systemów korzeniowych istniejących drzew i krzewów.</w:t>
      </w:r>
    </w:p>
    <w:p w14:paraId="01765C8C" w14:textId="37E647DC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14.</w:t>
      </w:r>
      <w:r w:rsidRPr="00EC4D2D">
        <w:rPr>
          <w:rFonts w:ascii="Arial" w:hAnsi="Arial" w:cs="Arial"/>
          <w:sz w:val="24"/>
          <w:szCs w:val="24"/>
        </w:rPr>
        <w:t xml:space="preserve"> Elementy separujące stanowiące trwały element zagospodarowania terenu,</w:t>
      </w:r>
      <w:r w:rsidR="000A56A7" w:rsidRPr="00EC4D2D">
        <w:rPr>
          <w:rFonts w:ascii="Arial" w:hAnsi="Arial" w:cs="Arial"/>
          <w:sz w:val="24"/>
          <w:szCs w:val="24"/>
        </w:rPr>
        <w:t xml:space="preserve"> </w:t>
      </w:r>
      <w:r w:rsidRPr="00EC4D2D">
        <w:rPr>
          <w:rFonts w:ascii="Arial" w:hAnsi="Arial" w:cs="Arial"/>
          <w:sz w:val="24"/>
          <w:szCs w:val="24"/>
        </w:rPr>
        <w:t>w szczególności wyniesione krawężniki i obrzeża, powinny, w miarę możliwości, umożliwiać odprowadzanie wód opadowych z ciągów pieszych i rowerowych do zieleńców.</w:t>
      </w:r>
    </w:p>
    <w:p w14:paraId="66366D51" w14:textId="14E50E1C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15.</w:t>
      </w:r>
      <w:r w:rsidRPr="00EC4D2D">
        <w:rPr>
          <w:rFonts w:ascii="Arial" w:hAnsi="Arial" w:cs="Arial"/>
          <w:sz w:val="24"/>
          <w:szCs w:val="24"/>
        </w:rPr>
        <w:t xml:space="preserve"> Konstrukcja elementu, sposobu montażu i wykonania powinien zapewniać trwałość i integralność elementu, także w przypadkach aktów wandalizmu.</w:t>
      </w:r>
    </w:p>
    <w:p w14:paraId="325AFF3F" w14:textId="73B4DF14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16.</w:t>
      </w:r>
      <w:r w:rsidRPr="00EC4D2D">
        <w:rPr>
          <w:rFonts w:ascii="Arial" w:hAnsi="Arial" w:cs="Arial"/>
          <w:sz w:val="24"/>
          <w:szCs w:val="24"/>
        </w:rPr>
        <w:t xml:space="preserve"> Jednostka realizująca projekt określi i zweryfikuje sposób montażu elementów separujących na podstawie rysunków warsztatowych tj. jednoznacznie definiujących zastosowaną technologię wykonania i mocowania do podłoża.</w:t>
      </w:r>
    </w:p>
    <w:p w14:paraId="7CDEF5F4" w14:textId="3EDE7F7D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§ 17.</w:t>
      </w:r>
      <w:r w:rsidRPr="00EC4D2D">
        <w:rPr>
          <w:rFonts w:ascii="Arial" w:hAnsi="Arial" w:cs="Arial"/>
          <w:sz w:val="24"/>
          <w:szCs w:val="24"/>
        </w:rPr>
        <w:t xml:space="preserve"> W przypadku elementów stalowych i żeliwnych, należy zapewnić ochronę przed korozją w postaci ocynkowania (ogniowego dla elementów stalowych) i malowania proszkowego na kolor RAL 7016.</w:t>
      </w:r>
    </w:p>
    <w:p w14:paraId="78CDB998" w14:textId="02417881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24B89F97" w14:textId="59CF3C92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7E53A046" w14:textId="6938AB91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3E1AC98B" w14:textId="24B2BA9B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77AD8F5E" w14:textId="5861F8CA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183F5155" w14:textId="501FDB08" w:rsidR="00C9448A" w:rsidRPr="00EC4D2D" w:rsidRDefault="00C9448A" w:rsidP="00C9448A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</w:p>
    <w:p w14:paraId="7122A1BD" w14:textId="7172A5A5" w:rsidR="00C9448A" w:rsidRPr="00EC4D2D" w:rsidRDefault="00C9448A" w:rsidP="00C9448A">
      <w:pPr>
        <w:spacing w:after="0"/>
        <w:ind w:firstLine="708"/>
        <w:jc w:val="center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Rozdział 3</w:t>
      </w:r>
    </w:p>
    <w:p w14:paraId="56498FDE" w14:textId="0235A3D6" w:rsidR="00C9448A" w:rsidRPr="00EC4D2D" w:rsidRDefault="00C9448A" w:rsidP="00C9448A">
      <w:pPr>
        <w:spacing w:after="0"/>
        <w:ind w:firstLine="708"/>
        <w:jc w:val="center"/>
        <w:rPr>
          <w:rFonts w:ascii="Arial" w:hAnsi="Arial" w:cs="Arial"/>
          <w:b/>
          <w:bCs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ZALECANE ELEMENTY SEPARUJĄCE</w:t>
      </w:r>
    </w:p>
    <w:p w14:paraId="0CEDC059" w14:textId="7D894488" w:rsidR="00C9448A" w:rsidRPr="00EC4D2D" w:rsidRDefault="00C9448A" w:rsidP="00C9448A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1617238C" w14:textId="3F912932" w:rsidR="00C9448A" w:rsidRPr="00EC4D2D" w:rsidRDefault="00C9448A" w:rsidP="00807FF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ab/>
      </w:r>
      <w:r w:rsidRPr="00EC4D2D">
        <w:rPr>
          <w:rFonts w:ascii="Arial" w:hAnsi="Arial" w:cs="Arial"/>
          <w:b/>
          <w:bCs/>
          <w:sz w:val="24"/>
          <w:szCs w:val="24"/>
        </w:rPr>
        <w:t xml:space="preserve">§ 18. </w:t>
      </w:r>
      <w:r w:rsidR="00807FFA" w:rsidRPr="00EC4D2D">
        <w:rPr>
          <w:rFonts w:ascii="Arial" w:hAnsi="Arial" w:cs="Arial"/>
          <w:b/>
          <w:bCs/>
          <w:sz w:val="24"/>
          <w:szCs w:val="24"/>
        </w:rPr>
        <w:t>1.</w:t>
      </w:r>
      <w:r w:rsidR="00807FFA" w:rsidRPr="00EC4D2D">
        <w:rPr>
          <w:rFonts w:ascii="Arial" w:hAnsi="Arial" w:cs="Arial"/>
          <w:sz w:val="24"/>
          <w:szCs w:val="24"/>
        </w:rPr>
        <w:t xml:space="preserve"> </w:t>
      </w:r>
      <w:r w:rsidRPr="00EC4D2D">
        <w:rPr>
          <w:rFonts w:ascii="Arial" w:hAnsi="Arial" w:cs="Arial"/>
          <w:sz w:val="24"/>
          <w:szCs w:val="24"/>
        </w:rPr>
        <w:t>Do zalecanych elementów separujących należy zaliczyć:</w:t>
      </w:r>
    </w:p>
    <w:p w14:paraId="3767F22B" w14:textId="2D73B2C7" w:rsidR="00C9448A" w:rsidRPr="00EC4D2D" w:rsidRDefault="00C9448A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C081057" w14:textId="40483706" w:rsidR="00C9448A" w:rsidRPr="00EC4D2D" w:rsidRDefault="00D90D51" w:rsidP="00807FFA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AE5C552" wp14:editId="19E05465">
                <wp:simplePos x="0" y="0"/>
                <wp:positionH relativeFrom="column">
                  <wp:posOffset>357505</wp:posOffset>
                </wp:positionH>
                <wp:positionV relativeFrom="paragraph">
                  <wp:posOffset>3354070</wp:posOffset>
                </wp:positionV>
                <wp:extent cx="5429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13EF3E" w14:textId="496EBB88" w:rsidR="00D90D51" w:rsidRPr="006C106B" w:rsidRDefault="00D90D51" w:rsidP="00405A66">
                            <w:pPr>
                              <w:pStyle w:val="Legenda"/>
                              <w:jc w:val="both"/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Przykład zagospodarowania zieleńca zielenią stała niską.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E5C55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8.15pt;margin-top:264.1pt;width:427.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" stroked="f">
                <v:textbox style="mso-fit-shape-to-text:t" inset="0,0,0,0">
                  <w:txbxContent>
                    <w:p w14:paraId="1613EF3E" w14:textId="496EBB88" w:rsidR="00D90D51" w:rsidRPr="006C106B" w:rsidRDefault="00D90D51" w:rsidP="00405A66">
                      <w:pPr>
                        <w:pStyle w:val="Legenda"/>
                        <w:jc w:val="both"/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Przykład zagospodarowania zieleńca zielenią stała niską.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D948B4C" wp14:editId="363E94D4">
            <wp:simplePos x="0" y="0"/>
            <wp:positionH relativeFrom="column">
              <wp:posOffset>357505</wp:posOffset>
            </wp:positionH>
            <wp:positionV relativeFrom="paragraph">
              <wp:posOffset>239395</wp:posOffset>
            </wp:positionV>
            <wp:extent cx="5429250" cy="3057525"/>
            <wp:effectExtent l="0" t="0" r="0" b="9525"/>
            <wp:wrapTight wrapText="bothSides">
              <wp:wrapPolygon edited="0">
                <wp:start x="0" y="0"/>
                <wp:lineTo x="0" y="21533"/>
                <wp:lineTo x="21524" y="21533"/>
                <wp:lineTo x="21524" y="0"/>
                <wp:lineTo x="0" y="0"/>
              </wp:wrapPolygon>
            </wp:wrapTight>
            <wp:docPr id="1" name="Obraz 1" descr="Rys. 1 Przykład zagospodarowania zieleńca zielenią stałą niską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Rys. 1 Przykład zagospodarowania zieleńca zielenią stałą niską.&#10;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48A" w:rsidRPr="00EC4D2D">
        <w:rPr>
          <w:rFonts w:ascii="Arial" w:hAnsi="Arial" w:cs="Arial"/>
          <w:sz w:val="24"/>
          <w:szCs w:val="24"/>
        </w:rPr>
        <w:t>Zieleń stałą niską</w:t>
      </w:r>
      <w:r w:rsidRPr="00EC4D2D">
        <w:rPr>
          <w:rFonts w:ascii="Arial" w:hAnsi="Arial" w:cs="Arial"/>
          <w:sz w:val="24"/>
          <w:szCs w:val="24"/>
        </w:rPr>
        <w:t>,</w:t>
      </w:r>
      <w:r w:rsidR="00C9448A" w:rsidRPr="00EC4D2D">
        <w:rPr>
          <w:rFonts w:ascii="Arial" w:hAnsi="Arial" w:cs="Arial"/>
          <w:sz w:val="24"/>
          <w:szCs w:val="24"/>
        </w:rPr>
        <w:t xml:space="preserve"> tworzącą ciągłą barierę przestrzenną:</w:t>
      </w:r>
    </w:p>
    <w:p w14:paraId="1FC84519" w14:textId="3D95AB55" w:rsidR="00D90D51" w:rsidRPr="00EC4D2D" w:rsidRDefault="00D90D51" w:rsidP="00D90D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3B56CB" w14:textId="09A7C655" w:rsidR="00D90D51" w:rsidRPr="00EC4D2D" w:rsidRDefault="00D90D51" w:rsidP="00D90D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6E1F5F5" w14:textId="54C100F9" w:rsidR="00D90D51" w:rsidRPr="00EC4D2D" w:rsidRDefault="00D90D51" w:rsidP="00D90D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B070694" w14:textId="42FBE9FD" w:rsidR="00D90D51" w:rsidRPr="00EC4D2D" w:rsidRDefault="00D90D51" w:rsidP="00D90D5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42AB1D" w14:textId="244AAE08" w:rsidR="00C9448A" w:rsidRPr="00EC4D2D" w:rsidRDefault="00C9448A" w:rsidP="00807FFA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Elementy trwałego zagospodarowania pasa drogowego takie jak:</w:t>
      </w:r>
    </w:p>
    <w:p w14:paraId="22492B15" w14:textId="6A888FB4" w:rsidR="005C5C90" w:rsidRPr="00EC4D2D" w:rsidRDefault="005C5C90" w:rsidP="00807FFA">
      <w:pPr>
        <w:pStyle w:val="Akapitzlist"/>
        <w:numPr>
          <w:ilvl w:val="0"/>
          <w:numId w:val="4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K</w:t>
      </w:r>
      <w:r w:rsidR="00C9448A" w:rsidRPr="00EC4D2D">
        <w:rPr>
          <w:rFonts w:ascii="Arial" w:hAnsi="Arial" w:cs="Arial"/>
          <w:sz w:val="24"/>
          <w:szCs w:val="24"/>
        </w:rPr>
        <w:t>rawężniki</w:t>
      </w:r>
      <w:r w:rsidRPr="00EC4D2D">
        <w:rPr>
          <w:rFonts w:ascii="Arial" w:hAnsi="Arial" w:cs="Arial"/>
          <w:sz w:val="24"/>
          <w:szCs w:val="24"/>
        </w:rPr>
        <w:t xml:space="preserve"> i obrzeża, betonowe oraz kamienne, wyniesione ponad nawierzchnię jezdni i chodnika tak by stanowiły opór dla kół pojazdu (zalecane wyniesienie w zakresie 10 – </w:t>
      </w:r>
      <w:r w:rsidR="0046110C" w:rsidRPr="00EC4D2D">
        <w:rPr>
          <w:rFonts w:ascii="Arial" w:hAnsi="Arial" w:cs="Arial"/>
          <w:sz w:val="24"/>
          <w:szCs w:val="24"/>
        </w:rPr>
        <w:t>20</w:t>
      </w:r>
      <w:r w:rsidRPr="00EC4D2D">
        <w:rPr>
          <w:rFonts w:ascii="Arial" w:hAnsi="Arial" w:cs="Arial"/>
          <w:sz w:val="24"/>
          <w:szCs w:val="24"/>
        </w:rPr>
        <w:t xml:space="preserve"> cm)</w:t>
      </w:r>
      <w:r w:rsidR="0046110C" w:rsidRPr="00EC4D2D">
        <w:rPr>
          <w:rFonts w:ascii="Arial" w:hAnsi="Arial" w:cs="Arial"/>
          <w:sz w:val="24"/>
          <w:szCs w:val="24"/>
        </w:rPr>
        <w:t>. Elementy te powinny być umieszczone w odległości max. 160 cm od siebie, uniemożliwiając wjazd pomiędzy nie pojazdów.</w:t>
      </w:r>
    </w:p>
    <w:p w14:paraId="382FD21C" w14:textId="373CCE8E" w:rsidR="00CA1100" w:rsidRPr="00EC4D2D" w:rsidRDefault="00C44412" w:rsidP="00CA1100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1" allowOverlap="1" wp14:anchorId="4E613704" wp14:editId="0F8433BB">
            <wp:simplePos x="0" y="0"/>
            <wp:positionH relativeFrom="column">
              <wp:posOffset>357505</wp:posOffset>
            </wp:positionH>
            <wp:positionV relativeFrom="paragraph">
              <wp:posOffset>40640</wp:posOffset>
            </wp:positionV>
            <wp:extent cx="5043170" cy="2846070"/>
            <wp:effectExtent l="0" t="0" r="5080" b="0"/>
            <wp:wrapTight wrapText="bothSides">
              <wp:wrapPolygon edited="0">
                <wp:start x="0" y="0"/>
                <wp:lineTo x="0" y="21398"/>
                <wp:lineTo x="21540" y="21398"/>
                <wp:lineTo x="21540" y="0"/>
                <wp:lineTo x="0" y="0"/>
              </wp:wrapPolygon>
            </wp:wrapTight>
            <wp:docPr id="3" name="Obraz 3" descr="Rys. 2 Rysunek poglądowy: Wyniesione krawężniki i obrzeża: WARIANT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Rys. 2 Rysunek poglądowy: Wyniesione krawężniki i obrzeża: WARIANT 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100"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FA2C542" wp14:editId="1760C98D">
                <wp:simplePos x="0" y="0"/>
                <wp:positionH relativeFrom="column">
                  <wp:posOffset>357505</wp:posOffset>
                </wp:positionH>
                <wp:positionV relativeFrom="paragraph">
                  <wp:posOffset>3087370</wp:posOffset>
                </wp:positionV>
                <wp:extent cx="5429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C01FD4" w14:textId="4CA99309" w:rsidR="00CA1100" w:rsidRPr="00392821" w:rsidRDefault="00CA1100" w:rsidP="00CA1100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Rysunek poglądowy: Wyniesione krawężniki i obrzeża: WARIANT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2C542" id="Pole tekstowe 4" o:spid="_x0000_s1027" type="#_x0000_t202" style="position:absolute;left:0;text-align:left;margin-left:28.15pt;margin-top:243.1pt;width:427.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" stroked="f">
                <v:textbox style="mso-fit-shape-to-text:t" inset="0,0,0,0">
                  <w:txbxContent>
                    <w:p w14:paraId="5BC01FD4" w14:textId="4CA99309" w:rsidR="00CA1100" w:rsidRPr="00392821" w:rsidRDefault="00CA1100" w:rsidP="00CA1100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Rysunek poglądowy: Wyniesione krawężniki i obrzeża: WARIANT 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21580C" w14:textId="41B49EBD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870A208" w14:textId="1AEFDA1E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C906DFC" w14:textId="4BD8558E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5570FE9" w14:textId="380A49FE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C561C6" w14:textId="1844D43B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38E931B" w14:textId="2FAE4B13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82F0B1" w14:textId="56589981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005D696" w14:textId="1B06017A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07355A6" w14:textId="73A9A136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9A81A3" w14:textId="3B6C2F25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0596B9E" w14:textId="4E792963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31D3DE2" w14:textId="074A5155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487FDF9" w14:textId="0B0E6C83" w:rsidR="00CA1100" w:rsidRPr="00EC4D2D" w:rsidRDefault="00CA1100" w:rsidP="00CA1100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DAE32FD" wp14:editId="2D71E8B5">
                <wp:simplePos x="0" y="0"/>
                <wp:positionH relativeFrom="column">
                  <wp:posOffset>-4445</wp:posOffset>
                </wp:positionH>
                <wp:positionV relativeFrom="paragraph">
                  <wp:posOffset>3389630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E75FE0" w14:textId="163756D0" w:rsidR="00CA1100" w:rsidRPr="007F7622" w:rsidRDefault="00CA1100" w:rsidP="00CA1100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Rysunek poglądowy: Wyniesione krawężniki i obrzeża: WARIANT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E32FD" id="Pole tekstowe 6" o:spid="_x0000_s1028" type="#_x0000_t202" style="position:absolute;left:0;text-align:left;margin-left:-.35pt;margin-top:266.9pt;width:453.6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" stroked="f">
                <v:textbox style="mso-fit-shape-to-text:t" inset="0,0,0,0">
                  <w:txbxContent>
                    <w:p w14:paraId="6EE75FE0" w14:textId="163756D0" w:rsidR="00CA1100" w:rsidRPr="007F7622" w:rsidRDefault="00CA1100" w:rsidP="00CA1100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Rysunek poglądowy: Wyniesione krawężniki i obrzeża: WARIANT 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B65D65E" w14:textId="4365A4D9" w:rsidR="00CA1100" w:rsidRPr="00EC4D2D" w:rsidRDefault="0046110C" w:rsidP="00CA1100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2CD0499A" wp14:editId="0D065E34">
            <wp:simplePos x="0" y="0"/>
            <wp:positionH relativeFrom="column">
              <wp:posOffset>-4445</wp:posOffset>
            </wp:positionH>
            <wp:positionV relativeFrom="paragraph">
              <wp:posOffset>69850</wp:posOffset>
            </wp:positionV>
            <wp:extent cx="5284470" cy="3056890"/>
            <wp:effectExtent l="0" t="0" r="0" b="0"/>
            <wp:wrapTight wrapText="bothSides">
              <wp:wrapPolygon edited="0">
                <wp:start x="0" y="0"/>
                <wp:lineTo x="0" y="21403"/>
                <wp:lineTo x="21491" y="21403"/>
                <wp:lineTo x="21491" y="0"/>
                <wp:lineTo x="0" y="0"/>
              </wp:wrapPolygon>
            </wp:wrapTight>
            <wp:docPr id="5" name="Obraz 5" descr="Rys. 3 Rysunek poglądowy: Wyniesione krawężniki i obrzeża: WARIANT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Rys. 3 Rysunek poglądowy: Wyniesione krawężniki i obrzeża: WARIANT B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EEAE0" w14:textId="02954AE7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46723E2" w14:textId="73D87622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238EFCF" w14:textId="6D54C2F8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67C89E13" w14:textId="16653405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4389539F" w14:textId="0659D042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E97311E" w14:textId="49442E21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7AA86D9" w14:textId="44040B06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6A27B700" w14:textId="10A46254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0D5CF681" w14:textId="42695901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E88404C" w14:textId="2C1781A5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1CD56F36" w14:textId="43181D0B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0F1F1234" w14:textId="360A1B40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CC42F3B" w14:textId="4D54C120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4781C888" w14:textId="58F6F66D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15589874" w14:textId="3CAD5112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00BFDCC" wp14:editId="572290BC">
                <wp:simplePos x="0" y="0"/>
                <wp:positionH relativeFrom="column">
                  <wp:posOffset>62230</wp:posOffset>
                </wp:positionH>
                <wp:positionV relativeFrom="paragraph">
                  <wp:posOffset>4726305</wp:posOffset>
                </wp:positionV>
                <wp:extent cx="51701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Pole tekstow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01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752389" w14:textId="01AC6AB3" w:rsidR="0046110C" w:rsidRPr="00E61AF5" w:rsidRDefault="0046110C" w:rsidP="0046110C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Rysunek poglądowy. Wyniesione krawężniki i obrzeża: WARIANT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BFDCC" id="Pole tekstowe 18" o:spid="_x0000_s1029" type="#_x0000_t202" style="position:absolute;left:0;text-align:left;margin-left:4.9pt;margin-top:372.15pt;width:407.1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" stroked="f">
                <v:textbox style="mso-fit-shape-to-text:t" inset="0,0,0,0">
                  <w:txbxContent>
                    <w:p w14:paraId="7C752389" w14:textId="01AC6AB3" w:rsidR="0046110C" w:rsidRPr="00E61AF5" w:rsidRDefault="0046110C" w:rsidP="0046110C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Rysunek poglądowy. Wyniesione krawężniki i obrzeża: WARIANT C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22B6C18D" wp14:editId="26DA8022">
            <wp:simplePos x="0" y="0"/>
            <wp:positionH relativeFrom="column">
              <wp:posOffset>62230</wp:posOffset>
            </wp:positionH>
            <wp:positionV relativeFrom="paragraph">
              <wp:posOffset>735965</wp:posOffset>
            </wp:positionV>
            <wp:extent cx="5170170" cy="3933190"/>
            <wp:effectExtent l="0" t="0" r="0" b="0"/>
            <wp:wrapTight wrapText="bothSides">
              <wp:wrapPolygon edited="0">
                <wp:start x="0" y="0"/>
                <wp:lineTo x="0" y="21447"/>
                <wp:lineTo x="21489" y="21447"/>
                <wp:lineTo x="21489" y="0"/>
                <wp:lineTo x="0" y="0"/>
              </wp:wrapPolygon>
            </wp:wrapTight>
            <wp:docPr id="17" name="Obraz 17" descr="Rys.4 Rysunek poglądowy. Wyniesione krawężniki i obrzeża: WARIANT 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Rys.4 Rysunek poglądowy. Wyniesione krawężniki i obrzeża: WARIANT C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617BE" w14:textId="736289E5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62E39960" w14:textId="0DF5D099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40A3ABA" w14:textId="277BD8AC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53415ED" w14:textId="4A39FDF6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2DD0B08B" w14:textId="3A1186BC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4D6AA3A7" w14:textId="0F1510D7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633D369" w14:textId="7D422BAC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6E925F17" w14:textId="0056EE12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21F7CDA1" w14:textId="3A986FF5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050BE366" w14:textId="341F67EB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3E26E20" w14:textId="10A78D9B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06F02DD5" w14:textId="471AF289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6FD74769" w14:textId="30DB7896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6EADECA1" w14:textId="215BCA09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9628453" w14:textId="337B41D0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1A98A45A" w14:textId="6CE5D7BA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4891DBE7" w14:textId="1EAE04F6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15011541" w14:textId="659927D1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F996886" w14:textId="7B4BB039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21B468DB" w14:textId="21274DA3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7BDA22E7" w14:textId="7A79FD10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34EE4679" w14:textId="34126CF2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41EA435A" w14:textId="77777777" w:rsidR="0046110C" w:rsidRPr="00EC4D2D" w:rsidRDefault="0046110C" w:rsidP="0046110C">
      <w:pPr>
        <w:pStyle w:val="Akapitzlist"/>
        <w:spacing w:after="0"/>
        <w:jc w:val="both"/>
        <w:rPr>
          <w:rFonts w:ascii="Arial" w:hAnsi="Arial" w:cs="Arial"/>
          <w:sz w:val="24"/>
          <w:szCs w:val="24"/>
        </w:rPr>
      </w:pPr>
    </w:p>
    <w:p w14:paraId="54D3A2F6" w14:textId="58AA9CD1" w:rsidR="005C5C90" w:rsidRPr="00EC4D2D" w:rsidRDefault="005C5C90" w:rsidP="00807FFA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Poziome elementy kotwione w nawierzchni stanowiące opór dla kół pojazdów, takie jak:</w:t>
      </w:r>
    </w:p>
    <w:p w14:paraId="6F878E7A" w14:textId="01102E54" w:rsidR="005C5C90" w:rsidRPr="00EC4D2D" w:rsidRDefault="00CA1100" w:rsidP="00807FFA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4CE0DC7" wp14:editId="48F1943B">
                <wp:simplePos x="0" y="0"/>
                <wp:positionH relativeFrom="column">
                  <wp:posOffset>-5080</wp:posOffset>
                </wp:positionH>
                <wp:positionV relativeFrom="paragraph">
                  <wp:posOffset>3712210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C08C00" w14:textId="1AA49D84" w:rsidR="00CA1100" w:rsidRPr="00760792" w:rsidRDefault="00CA1100" w:rsidP="00CA1100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Rysunek poglądowy: Prefabrykowane elementy kotwione w nawierzchni.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E0DC7" id="Pole tekstowe 8" o:spid="_x0000_s1030" type="#_x0000_t202" style="position:absolute;left:0;text-align:left;margin-left:-.4pt;margin-top:292.3pt;width:453.6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" stroked="f">
                <v:textbox style="mso-fit-shape-to-text:t" inset="0,0,0,0">
                  <w:txbxContent>
                    <w:p w14:paraId="4DC08C00" w14:textId="1AA49D84" w:rsidR="00CA1100" w:rsidRPr="00760792" w:rsidRDefault="00CA1100" w:rsidP="00CA1100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Rysunek poglądowy: Prefabrykowane elementy kotwione w nawierzchni.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31D5E32" wp14:editId="2C3B65EC">
            <wp:simplePos x="0" y="0"/>
            <wp:positionH relativeFrom="column">
              <wp:posOffset>-5080</wp:posOffset>
            </wp:positionH>
            <wp:positionV relativeFrom="paragraph">
              <wp:posOffset>320040</wp:posOffset>
            </wp:positionV>
            <wp:extent cx="5760720" cy="3335020"/>
            <wp:effectExtent l="0" t="0" r="0" b="0"/>
            <wp:wrapTight wrapText="bothSides">
              <wp:wrapPolygon edited="0">
                <wp:start x="0" y="0"/>
                <wp:lineTo x="0" y="21468"/>
                <wp:lineTo x="21500" y="21468"/>
                <wp:lineTo x="21500" y="0"/>
                <wp:lineTo x="0" y="0"/>
              </wp:wrapPolygon>
            </wp:wrapTight>
            <wp:docPr id="7" name="Obraz 7" descr="Rys. 5 Rysunek poglądowy: Prefabrykowane elementy kotwione w nawierzch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Rys. 5 Rysunek poglądowy: Prefabrykowane elementy kotwione w nawierzchni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C90" w:rsidRPr="00EC4D2D">
        <w:rPr>
          <w:rFonts w:ascii="Arial" w:hAnsi="Arial" w:cs="Arial"/>
          <w:sz w:val="24"/>
          <w:szCs w:val="24"/>
        </w:rPr>
        <w:t>Prefabrykowane elementy kamienne i betonowe,</w:t>
      </w:r>
    </w:p>
    <w:p w14:paraId="17DB461F" w14:textId="6A9CA71F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92EE1BC" w14:textId="53A2DC61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2F507DE" w14:textId="4A4ECEFC" w:rsidR="00CA1100" w:rsidRPr="00EC4D2D" w:rsidRDefault="005C5C90" w:rsidP="00CA1100">
      <w:pPr>
        <w:pStyle w:val="Akapitzlist"/>
        <w:numPr>
          <w:ilvl w:val="0"/>
          <w:numId w:val="7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Ograniczniki parkingowe i ograniczniki skrajni np. w postaci gumowych progów dopuszczonych do stosowania na drogach publicznych;</w:t>
      </w:r>
    </w:p>
    <w:p w14:paraId="70B3D022" w14:textId="3226E2F5" w:rsidR="005C5C90" w:rsidRPr="00EC4D2D" w:rsidRDefault="005C5C90" w:rsidP="00807FFA">
      <w:pPr>
        <w:pStyle w:val="Akapitzlist"/>
        <w:numPr>
          <w:ilvl w:val="0"/>
          <w:numId w:val="3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Elementy małej architektury, takie jak:</w:t>
      </w:r>
    </w:p>
    <w:p w14:paraId="1D13B396" w14:textId="54AD4EA1" w:rsidR="00CA1100" w:rsidRPr="00EC4D2D" w:rsidRDefault="005C5C90" w:rsidP="00CA1100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Separatory / słupki – elementy masywne o prostej formie i średnicy / szerokości większej niż 12 cm, o konstrukcji zapewniającej brak odkształceń w przypadku najechania z niewielką prędkością przez samochód osobowy;</w:t>
      </w:r>
    </w:p>
    <w:p w14:paraId="7BD31D09" w14:textId="0C8995DA" w:rsidR="005C5C90" w:rsidRPr="00EC4D2D" w:rsidRDefault="002A3EAF" w:rsidP="00807FFA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662A619D" wp14:editId="51F1F92F">
            <wp:simplePos x="0" y="0"/>
            <wp:positionH relativeFrom="column">
              <wp:posOffset>833755</wp:posOffset>
            </wp:positionH>
            <wp:positionV relativeFrom="paragraph">
              <wp:posOffset>855345</wp:posOffset>
            </wp:positionV>
            <wp:extent cx="5151120" cy="2939415"/>
            <wp:effectExtent l="0" t="0" r="0" b="0"/>
            <wp:wrapTight wrapText="bothSides">
              <wp:wrapPolygon edited="0">
                <wp:start x="0" y="0"/>
                <wp:lineTo x="0" y="21418"/>
                <wp:lineTo x="21488" y="21418"/>
                <wp:lineTo x="21488" y="0"/>
                <wp:lineTo x="0" y="0"/>
              </wp:wrapPolygon>
            </wp:wrapTight>
            <wp:docPr id="9" name="Obraz 9" descr="Rys. 6 Rysunek poglądowy: Separatory / Słupki - elementy masyw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Rys. 6 Rysunek poglądowy: Separatory / Słupki - elementy masywn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100"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27A1B0F" wp14:editId="3F95209C">
                <wp:simplePos x="0" y="0"/>
                <wp:positionH relativeFrom="column">
                  <wp:posOffset>833120</wp:posOffset>
                </wp:positionH>
                <wp:positionV relativeFrom="paragraph">
                  <wp:posOffset>3844925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48927C" w14:textId="26D58F93" w:rsidR="00CA1100" w:rsidRPr="002C302E" w:rsidRDefault="00CA1100" w:rsidP="00CA1100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Rysunek poglądowy: Separatory / Słupki - elementy masywne.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A1B0F" id="Pole tekstowe 10" o:spid="_x0000_s1031" type="#_x0000_t202" style="position:absolute;left:0;text-align:left;margin-left:65.6pt;margin-top:302.75pt;width:453.6pt;height:.05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" stroked="f">
                <v:textbox style="mso-fit-shape-to-text:t" inset="0,0,0,0">
                  <w:txbxContent>
                    <w:p w14:paraId="1A48927C" w14:textId="26D58F93" w:rsidR="00CA1100" w:rsidRPr="002C302E" w:rsidRDefault="00CA1100" w:rsidP="00CA1100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Rysunek poglądowy: Separatory / Słupki - elementy masywne.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C5C90" w:rsidRPr="00EC4D2D">
        <w:rPr>
          <w:rFonts w:ascii="Arial" w:hAnsi="Arial" w:cs="Arial"/>
          <w:sz w:val="24"/>
          <w:szCs w:val="24"/>
        </w:rPr>
        <w:t xml:space="preserve">Separatory /  słupki – elementy smukłe – słupki z tworzywa sztucznego </w:t>
      </w:r>
      <w:r w:rsidR="00807FFA" w:rsidRPr="00EC4D2D">
        <w:rPr>
          <w:rFonts w:ascii="Arial" w:hAnsi="Arial" w:cs="Arial"/>
          <w:sz w:val="24"/>
          <w:szCs w:val="24"/>
        </w:rPr>
        <w:t xml:space="preserve">                          </w:t>
      </w:r>
      <w:r w:rsidR="005C5C90" w:rsidRPr="00EC4D2D">
        <w:rPr>
          <w:rFonts w:ascii="Arial" w:hAnsi="Arial" w:cs="Arial"/>
          <w:sz w:val="24"/>
          <w:szCs w:val="24"/>
        </w:rPr>
        <w:t>z pamięcią kształtu barwione w masie na kolor RAL 7016, w strefie Śródmiejskiej stylizowane, z dekoracyjną bazą, pierścieniami i kulą na szczycie, wysokość słupków 60 – 80 cm.</w:t>
      </w:r>
    </w:p>
    <w:p w14:paraId="70857274" w14:textId="4CC24E8A" w:rsidR="005C5C90" w:rsidRPr="00EC4D2D" w:rsidRDefault="005C5C90" w:rsidP="00807FFA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Bariery wysokie o wysokości 80 – 120 cm, w postaci pojedynczych słupków połączonych łańcuchem lub ustawionych rządem przęseł tworzących ciągłe wygrodzenie;</w:t>
      </w:r>
    </w:p>
    <w:p w14:paraId="5E1C41F8" w14:textId="1BA40B3F" w:rsidR="00CA1100" w:rsidRPr="00EC4D2D" w:rsidRDefault="002A3EA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2AF05D7" wp14:editId="3E1825C6">
            <wp:simplePos x="0" y="0"/>
            <wp:positionH relativeFrom="column">
              <wp:posOffset>1157605</wp:posOffset>
            </wp:positionH>
            <wp:positionV relativeFrom="paragraph">
              <wp:posOffset>109855</wp:posOffset>
            </wp:positionV>
            <wp:extent cx="39052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5" y="21450"/>
                <wp:lineTo x="21495" y="0"/>
                <wp:lineTo x="0" y="0"/>
              </wp:wrapPolygon>
            </wp:wrapTight>
            <wp:docPr id="11" name="Obraz 11" descr="Rys. 7 Rysunek poglądowy: bariera wyso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Rys. 7 Rysunek poglądowy: bariera wysoka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D4BD3" w14:textId="4F2FEFD5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994D001" w14:textId="0ABA55BC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E12C523" w14:textId="7A6B7839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FFD2616" w14:textId="485BE486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1886088A" w14:textId="32C074D4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1827D356" w14:textId="3642BC0A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E8C41F0" w14:textId="7E59D7C0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AF2C487" w14:textId="21109252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1F75AB28" w14:textId="5AA271D6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2052772" w14:textId="3E7BBA39" w:rsidR="00CA1100" w:rsidRPr="00EC4D2D" w:rsidRDefault="00CA1100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C7781EA" w14:textId="68FFFCD5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B8DBF91" w14:textId="4BC1FFD8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E643DC0" w14:textId="77C09D21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87390C6" w14:textId="3358EA08" w:rsidR="00A8235F" w:rsidRPr="00EC4D2D" w:rsidRDefault="002A3EA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8ECAE33" wp14:editId="7264779D">
                <wp:simplePos x="0" y="0"/>
                <wp:positionH relativeFrom="column">
                  <wp:posOffset>1157605</wp:posOffset>
                </wp:positionH>
                <wp:positionV relativeFrom="paragraph">
                  <wp:posOffset>85090</wp:posOffset>
                </wp:positionV>
                <wp:extent cx="39052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B7F362" w14:textId="6D86A520" w:rsidR="00CA1100" w:rsidRPr="001E65C6" w:rsidRDefault="00CA1100" w:rsidP="00CA1100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fldSimple w:instr=" SEQ Rys. \* ARABIC ">
                              <w:r w:rsidR="00EA57EB"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t xml:space="preserve"> Rysunek poglądowy: bariera wysoka.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CAE33" id="Pole tekstowe 12" o:spid="_x0000_s1032" type="#_x0000_t202" style="position:absolute;left:0;text-align:left;margin-left:91.15pt;margin-top:6.7pt;width:307.5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" stroked="f">
                <v:textbox style="mso-fit-shape-to-text:t" inset="0,0,0,0">
                  <w:txbxContent>
                    <w:p w14:paraId="5EB7F362" w14:textId="6D86A520" w:rsidR="00CA1100" w:rsidRPr="001E65C6" w:rsidRDefault="00CA1100" w:rsidP="00CA1100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fldSimple w:instr=" SEQ Rys. \* ARABIC ">
                        <w:r w:rsidR="00EA57EB">
                          <w:rPr>
                            <w:noProof/>
                          </w:rPr>
                          <w:t>7</w:t>
                        </w:r>
                      </w:fldSimple>
                      <w:r>
                        <w:t xml:space="preserve"> Rysunek poglądowy: bariera wysoka.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D6F57D9" w14:textId="3BBCE9D2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310410E" w14:textId="319C9DA3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058511A" w14:textId="372C38F3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6918856" w14:textId="77777777" w:rsidR="00A8235F" w:rsidRPr="00EC4D2D" w:rsidRDefault="00A8235F" w:rsidP="00CA1100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F92673D" w14:textId="15D5F6E5" w:rsidR="00A8235F" w:rsidRPr="00EC4D2D" w:rsidRDefault="00A8235F" w:rsidP="00F56025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lastRenderedPageBreak/>
        <w:t>Bariery niskie o wysokości 30 – 40 cm ponad powierzchnię gruntu w postaci przęseł tworzących ciągłe wygrodzenie lub barier w kształcie litery „U”</w:t>
      </w:r>
      <w:r w:rsidR="002A3EAF" w:rsidRPr="00EC4D2D">
        <w:rPr>
          <w:rFonts w:ascii="Arial" w:hAnsi="Arial" w:cs="Arial"/>
          <w:sz w:val="24"/>
          <w:szCs w:val="24"/>
        </w:rPr>
        <w:t xml:space="preserve"> wykonanych z elementu o średnicy zewnętrznej 60 mm</w:t>
      </w:r>
      <w:r w:rsidRPr="00EC4D2D">
        <w:rPr>
          <w:rFonts w:ascii="Arial" w:hAnsi="Arial" w:cs="Arial"/>
          <w:sz w:val="24"/>
          <w:szCs w:val="24"/>
        </w:rPr>
        <w:t>;</w:t>
      </w:r>
    </w:p>
    <w:p w14:paraId="062F134C" w14:textId="06224029" w:rsidR="00A8235F" w:rsidRPr="00EC4D2D" w:rsidRDefault="008C0F66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 wp14:anchorId="4B7D5945" wp14:editId="33A4D11E">
            <wp:simplePos x="0" y="0"/>
            <wp:positionH relativeFrom="column">
              <wp:posOffset>548005</wp:posOffset>
            </wp:positionH>
            <wp:positionV relativeFrom="paragraph">
              <wp:posOffset>69850</wp:posOffset>
            </wp:positionV>
            <wp:extent cx="4636770" cy="3291840"/>
            <wp:effectExtent l="0" t="0" r="0" b="3810"/>
            <wp:wrapTight wrapText="bothSides">
              <wp:wrapPolygon edited="0">
                <wp:start x="0" y="0"/>
                <wp:lineTo x="0" y="21500"/>
                <wp:lineTo x="21476" y="21500"/>
                <wp:lineTo x="21476" y="0"/>
                <wp:lineTo x="0" y="0"/>
              </wp:wrapPolygon>
            </wp:wrapTight>
            <wp:docPr id="19" name="Obraz 19" descr="Rys. 8 Rysunek poglądowy: Bariera niska wykonana z przęseł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Rys. 8 Rysunek poglądowy: Bariera niska wykonana z przęseł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7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6BBC6" w14:textId="6C8003E4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5137E66" w14:textId="4F86B719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3F848AA" w14:textId="3A74F3D6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C690385" w14:textId="53B8E1ED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6C02E6A" w14:textId="2F42D2C3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F206F09" w14:textId="0A5076C0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BE86C5B" w14:textId="2E91B946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77D8095" w14:textId="14BA98EB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589191B" w14:textId="07950152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A605877" w14:textId="5D2EB77A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441B309" w14:textId="477E59CE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547FF23" w14:textId="4613D09C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136C3EC" w14:textId="2D06E0A5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BE4DE59" w14:textId="163301D2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DD98C5D" w14:textId="5DEA92AA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B097D85" w14:textId="584ABDE8" w:rsidR="00A8235F" w:rsidRPr="00EC4D2D" w:rsidRDefault="00EB1DB6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664422D" wp14:editId="16B851A8">
                <wp:simplePos x="0" y="0"/>
                <wp:positionH relativeFrom="column">
                  <wp:posOffset>1405255</wp:posOffset>
                </wp:positionH>
                <wp:positionV relativeFrom="paragraph">
                  <wp:posOffset>4808220</wp:posOffset>
                </wp:positionV>
                <wp:extent cx="32442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Pole tekstow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42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7CBAE3" w14:textId="0C7A7C58" w:rsidR="00EB1DB6" w:rsidRPr="00890891" w:rsidRDefault="00EB1DB6" w:rsidP="00EB1DB6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>Rys. 9 Rysunek poglądowy: Bariera niska w kształcie "U".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4422D" id="Pole tekstowe 22" o:spid="_x0000_s1033" type="#_x0000_t202" style="position:absolute;left:0;text-align:left;margin-left:110.65pt;margin-top:378.6pt;width:255.45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" stroked="f">
                <v:textbox style="mso-fit-shape-to-text:t" inset="0,0,0,0">
                  <w:txbxContent>
                    <w:p w14:paraId="4C7CBAE3" w14:textId="0C7A7C58" w:rsidR="00EB1DB6" w:rsidRPr="00890891" w:rsidRDefault="00EB1DB6" w:rsidP="00EB1DB6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>Rys. 9 Rysunek poglądowy: Bariera niska w kształcie "U".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0F66"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372E56A" wp14:editId="2851EBC8">
            <wp:simplePos x="0" y="0"/>
            <wp:positionH relativeFrom="column">
              <wp:posOffset>1405255</wp:posOffset>
            </wp:positionH>
            <wp:positionV relativeFrom="paragraph">
              <wp:posOffset>540385</wp:posOffset>
            </wp:positionV>
            <wp:extent cx="3244215" cy="4210685"/>
            <wp:effectExtent l="0" t="0" r="0" b="0"/>
            <wp:wrapTight wrapText="bothSides">
              <wp:wrapPolygon edited="0">
                <wp:start x="0" y="0"/>
                <wp:lineTo x="0" y="21499"/>
                <wp:lineTo x="21435" y="21499"/>
                <wp:lineTo x="21435" y="0"/>
                <wp:lineTo x="0" y="0"/>
              </wp:wrapPolygon>
            </wp:wrapTight>
            <wp:docPr id="21" name="Obraz 21" descr="Rys. 9 Rysunek poglądowy: Bariera niska w kształcie &quot;U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Rys. 9 Rysunek poglądowy: Bariera niska w kształcie &quot;U&quot;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215" cy="421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F66"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6BBB37D" wp14:editId="245B7785">
                <wp:simplePos x="0" y="0"/>
                <wp:positionH relativeFrom="column">
                  <wp:posOffset>547370</wp:posOffset>
                </wp:positionH>
                <wp:positionV relativeFrom="paragraph">
                  <wp:posOffset>196215</wp:posOffset>
                </wp:positionV>
                <wp:extent cx="49796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9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391AF" w14:textId="2E7DE185" w:rsidR="002A3EAF" w:rsidRPr="00374919" w:rsidRDefault="002A3EAF" w:rsidP="002A3EAF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</w:t>
                            </w:r>
                            <w:r w:rsidR="00EB1DB6">
                              <w:t>8</w:t>
                            </w:r>
                            <w:r>
                              <w:t xml:space="preserve"> Rysunek poglądowy: Bariera niska wykonana z przęseł.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BB37D" id="Pole tekstowe 20" o:spid="_x0000_s1034" type="#_x0000_t202" style="position:absolute;left:0;text-align:left;margin-left:43.1pt;margin-top:15.45pt;width:392.1pt;height:.0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" stroked="f">
                <v:textbox style="mso-fit-shape-to-text:t" inset="0,0,0,0">
                  <w:txbxContent>
                    <w:p w14:paraId="4FB391AF" w14:textId="2E7DE185" w:rsidR="002A3EAF" w:rsidRPr="00374919" w:rsidRDefault="002A3EAF" w:rsidP="002A3EAF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</w:t>
                      </w:r>
                      <w:r w:rsidR="00EB1DB6">
                        <w:t>8</w:t>
                      </w:r>
                      <w:r>
                        <w:t xml:space="preserve"> Rysunek poglądowy: Bariera niska wykonana z przęseł.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D9C346D" w14:textId="4B726F70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6E8AACD" w14:textId="41FD45D5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8CE3DFD" w14:textId="5B2CD333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1AF1F85" w14:textId="165922E9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49D0634" w14:textId="4703F69F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E1903CE" w14:textId="20B3F212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25A564F" w14:textId="4EADF043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1E712D6" w14:textId="77777777" w:rsidR="00A8235F" w:rsidRPr="00EC4D2D" w:rsidRDefault="00A8235F" w:rsidP="00A8235F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FB4DB86" w14:textId="3F6562F7" w:rsidR="00CA1100" w:rsidRPr="00EC4D2D" w:rsidRDefault="00CA1100" w:rsidP="00F56025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5EBCC4B4" wp14:editId="2D4D2FB3">
                <wp:simplePos x="0" y="0"/>
                <wp:positionH relativeFrom="column">
                  <wp:posOffset>252095</wp:posOffset>
                </wp:positionH>
                <wp:positionV relativeFrom="paragraph">
                  <wp:posOffset>4166870</wp:posOffset>
                </wp:positionV>
                <wp:extent cx="54159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9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A2264E" w14:textId="455F4560" w:rsidR="00CA1100" w:rsidRPr="007E5615" w:rsidRDefault="00CA1100" w:rsidP="00CA1100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r w:rsidR="009C1951">
                              <w:t>10</w:t>
                            </w:r>
                            <w:r w:rsidR="00DC4610">
                              <w:t xml:space="preserve"> </w:t>
                            </w:r>
                            <w:r>
                              <w:t>Rysunek poglądowy: Odbojniki.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CC4B4" id="Pole tekstowe 14" o:spid="_x0000_s1035" type="#_x0000_t202" style="position:absolute;left:0;text-align:left;margin-left:19.85pt;margin-top:328.1pt;width:426.45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" stroked="f">
                <v:textbox style="mso-fit-shape-to-text:t" inset="0,0,0,0">
                  <w:txbxContent>
                    <w:p w14:paraId="4AA2264E" w14:textId="455F4560" w:rsidR="00CA1100" w:rsidRPr="007E5615" w:rsidRDefault="00CA1100" w:rsidP="00CA1100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r w:rsidR="009C1951">
                        <w:t>10</w:t>
                      </w:r>
                      <w:r w:rsidR="00DC4610">
                        <w:t xml:space="preserve"> </w:t>
                      </w:r>
                      <w:r>
                        <w:t>Rysunek poglądowy: Odbojniki.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6AD7DB0D" wp14:editId="45EFC175">
            <wp:simplePos x="0" y="0"/>
            <wp:positionH relativeFrom="column">
              <wp:posOffset>252095</wp:posOffset>
            </wp:positionH>
            <wp:positionV relativeFrom="paragraph">
              <wp:posOffset>747395</wp:posOffset>
            </wp:positionV>
            <wp:extent cx="5415915" cy="3362325"/>
            <wp:effectExtent l="0" t="0" r="0" b="9525"/>
            <wp:wrapTight wrapText="bothSides">
              <wp:wrapPolygon edited="0">
                <wp:start x="0" y="0"/>
                <wp:lineTo x="0" y="21539"/>
                <wp:lineTo x="21501" y="21539"/>
                <wp:lineTo x="21501" y="0"/>
                <wp:lineTo x="0" y="0"/>
              </wp:wrapPolygon>
            </wp:wrapTight>
            <wp:docPr id="13" name="Obraz 13" descr="Rys. 10 Rysunek poglądowy: Odbojnik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Rys. 10 Rysunek poglądowy: Odbojniki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C90" w:rsidRPr="00EC4D2D">
        <w:rPr>
          <w:rFonts w:ascii="Arial" w:hAnsi="Arial" w:cs="Arial"/>
          <w:sz w:val="24"/>
          <w:szCs w:val="24"/>
        </w:rPr>
        <w:t xml:space="preserve">Odbojniki – niskie, masywne elementy stalowe lub żeliwne o średnicy powyżej 20 cm o konstrukcji zapewniającej brak odkształceń w przypadku najechania </w:t>
      </w:r>
      <w:r w:rsidR="00807FFA" w:rsidRPr="00EC4D2D">
        <w:rPr>
          <w:rFonts w:ascii="Arial" w:hAnsi="Arial" w:cs="Arial"/>
          <w:sz w:val="24"/>
          <w:szCs w:val="24"/>
        </w:rPr>
        <w:t xml:space="preserve">                 </w:t>
      </w:r>
      <w:r w:rsidR="005C5C90" w:rsidRPr="00EC4D2D">
        <w:rPr>
          <w:rFonts w:ascii="Arial" w:hAnsi="Arial" w:cs="Arial"/>
          <w:sz w:val="24"/>
          <w:szCs w:val="24"/>
        </w:rPr>
        <w:t>z niewielką prędkością przez samochód osobowy;</w:t>
      </w:r>
    </w:p>
    <w:p w14:paraId="1234525B" w14:textId="6ED99C62" w:rsidR="00807FFA" w:rsidRPr="00EC4D2D" w:rsidRDefault="00807FFA" w:rsidP="00807FFA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Kwietniki, donice i gazony – wyłącznie elementy masywne, dobrze widoczne              w przestrzeni.</w:t>
      </w:r>
    </w:p>
    <w:p w14:paraId="72D2ABDF" w14:textId="541A5AF6" w:rsidR="00807FFA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2206B02" wp14:editId="4F52C249">
                <wp:simplePos x="0" y="0"/>
                <wp:positionH relativeFrom="column">
                  <wp:posOffset>452755</wp:posOffset>
                </wp:positionH>
                <wp:positionV relativeFrom="paragraph">
                  <wp:posOffset>2886075</wp:posOffset>
                </wp:positionV>
                <wp:extent cx="49993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Pole tekstow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6F0C9D" w14:textId="2B004B8E" w:rsidR="00F56025" w:rsidRPr="00746559" w:rsidRDefault="00F56025" w:rsidP="00F56025">
                            <w:pPr>
                              <w:pStyle w:val="Legenda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Rys. </w:t>
                            </w:r>
                            <w:r w:rsidR="009C1951">
                              <w:t>11</w:t>
                            </w:r>
                            <w:r w:rsidR="00DC4610">
                              <w:t xml:space="preserve"> </w:t>
                            </w:r>
                            <w:r>
                              <w:t>Przykład kwietnika.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06B02" id="Pole tekstowe 16" o:spid="_x0000_s1036" type="#_x0000_t202" style="position:absolute;left:0;text-align:left;margin-left:35.65pt;margin-top:227.25pt;width:393.6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" stroked="f">
                <v:textbox style="mso-fit-shape-to-text:t" inset="0,0,0,0">
                  <w:txbxContent>
                    <w:p w14:paraId="066F0C9D" w14:textId="2B004B8E" w:rsidR="00F56025" w:rsidRPr="00746559" w:rsidRDefault="00F56025" w:rsidP="00F56025">
                      <w:pPr>
                        <w:pStyle w:val="Legenda"/>
                        <w:rPr>
                          <w:sz w:val="24"/>
                          <w:szCs w:val="24"/>
                        </w:rPr>
                      </w:pPr>
                      <w:r>
                        <w:t xml:space="preserve">Rys. </w:t>
                      </w:r>
                      <w:r w:rsidR="009C1951">
                        <w:t>11</w:t>
                      </w:r>
                      <w:r w:rsidR="00DC4610">
                        <w:t xml:space="preserve"> </w:t>
                      </w:r>
                      <w:r>
                        <w:t>Przykład kwietnika.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2065F8AB" wp14:editId="4AF06437">
            <wp:simplePos x="0" y="0"/>
            <wp:positionH relativeFrom="column">
              <wp:posOffset>452755</wp:posOffset>
            </wp:positionH>
            <wp:positionV relativeFrom="paragraph">
              <wp:posOffset>95250</wp:posOffset>
            </wp:positionV>
            <wp:extent cx="4999355" cy="2733675"/>
            <wp:effectExtent l="0" t="0" r="0" b="9525"/>
            <wp:wrapTight wrapText="bothSides">
              <wp:wrapPolygon edited="0">
                <wp:start x="0" y="0"/>
                <wp:lineTo x="0" y="21525"/>
                <wp:lineTo x="21482" y="21525"/>
                <wp:lineTo x="21482" y="0"/>
                <wp:lineTo x="0" y="0"/>
              </wp:wrapPolygon>
            </wp:wrapTight>
            <wp:docPr id="15" name="Obraz 15" descr="Rys. 11 Przykład kwietni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Rys. 11 Przykład kwietnika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1A377" w14:textId="54A0B16C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D02E070" w14:textId="0268FB0A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07353A7" w14:textId="335CD6CF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BA982F7" w14:textId="01120750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BAF49C7" w14:textId="7EAE163B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97D0F3" w14:textId="1637F816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C351691" w14:textId="1BAFA9D2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3D129B8E" w14:textId="0DE66E41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C207B05" w14:textId="651C4CA0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9B47FDA" w14:textId="6C998CFC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9C281A0" w14:textId="15F3CE7D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5455273" w14:textId="0F78D2BB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9391851" w14:textId="0E66A0BD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23126D0" w14:textId="02AABD3A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2A0E5E" w14:textId="6CBBE0FD" w:rsidR="00F56025" w:rsidRPr="00EC4D2D" w:rsidRDefault="00F56025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EB334C1" w14:textId="3BFBD137" w:rsidR="009C1951" w:rsidRPr="00EC4D2D" w:rsidRDefault="009C1951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696039F" w14:textId="77777777" w:rsidR="009C1951" w:rsidRPr="00EC4D2D" w:rsidRDefault="009C1951" w:rsidP="00807FFA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7F6EF7D" w14:textId="0415C009" w:rsidR="00F56025" w:rsidRPr="00EC4D2D" w:rsidRDefault="00EB1DB6" w:rsidP="00EB1DB6">
      <w:pPr>
        <w:pStyle w:val="Akapitzlist"/>
        <w:numPr>
          <w:ilvl w:val="0"/>
          <w:numId w:val="8"/>
        </w:numPr>
        <w:spacing w:after="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sz w:val="24"/>
          <w:szCs w:val="24"/>
        </w:rPr>
        <w:t>Kosze betonowe – wykonane z betonu wysokiej klasy C30/37 w technologii „betonu płukanego”. Kopuła zawierająca popielnicę opróżnianą poprzez przechylenie</w:t>
      </w:r>
      <w:r w:rsidR="009C1951" w:rsidRPr="00EC4D2D">
        <w:rPr>
          <w:rFonts w:ascii="Arial" w:hAnsi="Arial" w:cs="Arial"/>
          <w:sz w:val="24"/>
          <w:szCs w:val="24"/>
        </w:rPr>
        <w:t xml:space="preserve">. Części metalowe ocynkowane oraz </w:t>
      </w:r>
      <w:r w:rsidR="009C1951" w:rsidRPr="00EC4D2D">
        <w:rPr>
          <w:rFonts w:ascii="Arial" w:hAnsi="Arial" w:cs="Arial"/>
          <w:sz w:val="24"/>
          <w:szCs w:val="24"/>
        </w:rPr>
        <w:lastRenderedPageBreak/>
        <w:t xml:space="preserve">malowane proszkowo. Kosz zamykany kluczem </w:t>
      </w:r>
      <w:proofErr w:type="spellStart"/>
      <w:r w:rsidR="009C1951" w:rsidRPr="00EC4D2D">
        <w:rPr>
          <w:rFonts w:ascii="Arial" w:hAnsi="Arial" w:cs="Arial"/>
          <w:sz w:val="24"/>
          <w:szCs w:val="24"/>
        </w:rPr>
        <w:t>imbusowym</w:t>
      </w:r>
      <w:proofErr w:type="spellEnd"/>
      <w:r w:rsidR="009C1951" w:rsidRPr="00EC4D2D">
        <w:rPr>
          <w:rFonts w:ascii="Arial" w:hAnsi="Arial" w:cs="Arial"/>
          <w:sz w:val="24"/>
          <w:szCs w:val="24"/>
        </w:rPr>
        <w:t>. Minimalna pojemność na odpady: 70 l.</w:t>
      </w:r>
    </w:p>
    <w:p w14:paraId="5174C181" w14:textId="2D882B2D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6F8E7EF2" wp14:editId="55A7B3F8">
            <wp:simplePos x="0" y="0"/>
            <wp:positionH relativeFrom="column">
              <wp:posOffset>1871980</wp:posOffset>
            </wp:positionH>
            <wp:positionV relativeFrom="paragraph">
              <wp:posOffset>173355</wp:posOffset>
            </wp:positionV>
            <wp:extent cx="249555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35" y="21470"/>
                <wp:lineTo x="21435" y="0"/>
                <wp:lineTo x="0" y="0"/>
              </wp:wrapPolygon>
            </wp:wrapTight>
            <wp:docPr id="23" name="Obraz 23" descr="Rys. 12 Rysunek poglądowy: Betonowy kosz na odpad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Rys. 12 Rysunek poglądowy: Betonowy kosz na odpady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3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463D" w14:textId="6AF075DA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1C321E49" w14:textId="3DA1EF39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BAB7F99" w14:textId="0AA66DF5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1855B26" w14:textId="34069DF1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CE5F7EB" w14:textId="1D64FC9E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63BF1D2" w14:textId="04B8D684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420A3588" w14:textId="1CB4895C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50657ED" w14:textId="6F680034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3DCB452" w14:textId="44FE50C8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6B6DDBD3" w14:textId="70971F51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0995564" w14:textId="456DDDFB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2E9BB61" w14:textId="7BC63FDE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F8D1A5C" w14:textId="5BED329D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CC45E97" wp14:editId="65ED3836">
                <wp:simplePos x="0" y="0"/>
                <wp:positionH relativeFrom="column">
                  <wp:posOffset>1871345</wp:posOffset>
                </wp:positionH>
                <wp:positionV relativeFrom="paragraph">
                  <wp:posOffset>26035</wp:posOffset>
                </wp:positionV>
                <wp:extent cx="2695575" cy="635"/>
                <wp:effectExtent l="0" t="0" r="9525" b="0"/>
                <wp:wrapTight wrapText="bothSides">
                  <wp:wrapPolygon edited="0">
                    <wp:start x="0" y="0"/>
                    <wp:lineTo x="0" y="20057"/>
                    <wp:lineTo x="21524" y="20057"/>
                    <wp:lineTo x="21524" y="0"/>
                    <wp:lineTo x="0" y="0"/>
                  </wp:wrapPolygon>
                </wp:wrapTight>
                <wp:docPr id="24" name="Pole tekstow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CB5CAF0" w14:textId="16B4A3E5" w:rsidR="009C1951" w:rsidRPr="008C0342" w:rsidRDefault="009C1951" w:rsidP="009C1951">
                            <w:pPr>
                              <w:pStyle w:val="Legenda"/>
                              <w:rPr>
                                <w:noProof/>
                              </w:rPr>
                            </w:pPr>
                            <w:r>
                              <w:t xml:space="preserve">Rys. </w:t>
                            </w:r>
                            <w:r w:rsidR="00DC4610">
                              <w:t xml:space="preserve">12 </w:t>
                            </w:r>
                            <w:r>
                              <w:t>Rysunek poglądowy: Betonowy kosz na odpady.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C45E97" id="Pole tekstowe 24" o:spid="_x0000_s1037" type="#_x0000_t202" style="position:absolute;left:0;text-align:left;margin-left:147.35pt;margin-top:2.05pt;width:212.25pt;height:.05pt;z-index:-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" stroked="f">
                <v:textbox style="mso-fit-shape-to-text:t" inset="0,0,0,0">
                  <w:txbxContent>
                    <w:p w14:paraId="0CB5CAF0" w14:textId="16B4A3E5" w:rsidR="009C1951" w:rsidRPr="008C0342" w:rsidRDefault="009C1951" w:rsidP="009C1951">
                      <w:pPr>
                        <w:pStyle w:val="Legenda"/>
                        <w:rPr>
                          <w:noProof/>
                        </w:rPr>
                      </w:pPr>
                      <w:r>
                        <w:t xml:space="preserve">Rys. </w:t>
                      </w:r>
                      <w:r w:rsidR="00DC4610">
                        <w:t xml:space="preserve">12 </w:t>
                      </w:r>
                      <w:r>
                        <w:t>Rysunek poglądowy: Betonowy kosz na odpady.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63B34AB" w14:textId="4860381F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E55D95A" w14:textId="2E800E3D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01AF0B03" w14:textId="33462531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502353AC" w14:textId="764DCC44" w:rsidR="009C1951" w:rsidRPr="00EC4D2D" w:rsidRDefault="009C1951" w:rsidP="00DC4610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1A2444A" w14:textId="77777777" w:rsidR="009C1951" w:rsidRPr="00EC4D2D" w:rsidRDefault="009C1951" w:rsidP="009C1951">
      <w:pPr>
        <w:pStyle w:val="Akapitzlist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2A8B8D6B" w14:textId="08DF9077" w:rsidR="00C9448A" w:rsidRPr="00EC4D2D" w:rsidRDefault="00807FFA" w:rsidP="00F56025">
      <w:pPr>
        <w:spacing w:after="0"/>
        <w:ind w:left="709"/>
        <w:jc w:val="both"/>
        <w:rPr>
          <w:rFonts w:ascii="Arial" w:hAnsi="Arial" w:cs="Arial"/>
          <w:sz w:val="24"/>
          <w:szCs w:val="24"/>
        </w:rPr>
      </w:pPr>
      <w:r w:rsidRPr="00EC4D2D">
        <w:rPr>
          <w:rFonts w:ascii="Arial" w:hAnsi="Arial" w:cs="Arial"/>
          <w:b/>
          <w:bCs/>
          <w:sz w:val="24"/>
          <w:szCs w:val="24"/>
        </w:rPr>
        <w:t>2.</w:t>
      </w:r>
      <w:r w:rsidRPr="00EC4D2D">
        <w:rPr>
          <w:rFonts w:ascii="Arial" w:hAnsi="Arial" w:cs="Arial"/>
          <w:sz w:val="24"/>
          <w:szCs w:val="24"/>
        </w:rPr>
        <w:t xml:space="preserve"> Zamieszczone rysunki i fotografie stanowią materiał poglądowy ilustrujący pożądane formy elementów separujących.</w:t>
      </w:r>
    </w:p>
    <w:sectPr w:rsidR="00C9448A" w:rsidRPr="00EC4D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1D4EEB" w14:textId="77777777" w:rsidR="00957EED" w:rsidRDefault="00957EED" w:rsidP="005C5C90">
      <w:pPr>
        <w:spacing w:after="0" w:line="240" w:lineRule="auto"/>
      </w:pPr>
      <w:r>
        <w:separator/>
      </w:r>
    </w:p>
  </w:endnote>
  <w:endnote w:type="continuationSeparator" w:id="0">
    <w:p w14:paraId="6D251A3C" w14:textId="77777777" w:rsidR="00957EED" w:rsidRDefault="00957EED" w:rsidP="005C5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F92943" w14:textId="77777777" w:rsidR="00957EED" w:rsidRDefault="00957EED" w:rsidP="005C5C90">
      <w:pPr>
        <w:spacing w:after="0" w:line="240" w:lineRule="auto"/>
      </w:pPr>
      <w:r>
        <w:separator/>
      </w:r>
    </w:p>
  </w:footnote>
  <w:footnote w:type="continuationSeparator" w:id="0">
    <w:p w14:paraId="57C7168A" w14:textId="77777777" w:rsidR="00957EED" w:rsidRDefault="00957EED" w:rsidP="005C5C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B1552"/>
    <w:multiLevelType w:val="hybridMultilevel"/>
    <w:tmpl w:val="E5348A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F59AC"/>
    <w:multiLevelType w:val="hybridMultilevel"/>
    <w:tmpl w:val="A3EC4308"/>
    <w:lvl w:ilvl="0" w:tplc="0F9AE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7C21E1"/>
    <w:multiLevelType w:val="hybridMultilevel"/>
    <w:tmpl w:val="E6D2C5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D51014"/>
    <w:multiLevelType w:val="hybridMultilevel"/>
    <w:tmpl w:val="D812AF0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0576DF3"/>
    <w:multiLevelType w:val="hybridMultilevel"/>
    <w:tmpl w:val="8BBAEDB8"/>
    <w:lvl w:ilvl="0" w:tplc="04150011">
      <w:start w:val="1"/>
      <w:numFmt w:val="decimal"/>
      <w:lvlText w:val="%1)"/>
      <w:lvlJc w:val="left"/>
      <w:pPr>
        <w:ind w:left="1050" w:hanging="360"/>
      </w:p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5" w15:restartNumberingAfterBreak="0">
    <w:nsid w:val="5F737779"/>
    <w:multiLevelType w:val="hybridMultilevel"/>
    <w:tmpl w:val="4A0885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9D512F"/>
    <w:multiLevelType w:val="hybridMultilevel"/>
    <w:tmpl w:val="93A0C9F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A7D47"/>
    <w:multiLevelType w:val="hybridMultilevel"/>
    <w:tmpl w:val="BB3809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F37D31"/>
    <w:multiLevelType w:val="hybridMultilevel"/>
    <w:tmpl w:val="BB3809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7D"/>
    <w:rsid w:val="000A56A7"/>
    <w:rsid w:val="00113B81"/>
    <w:rsid w:val="001F4EEC"/>
    <w:rsid w:val="002A3EAF"/>
    <w:rsid w:val="00326FC8"/>
    <w:rsid w:val="00404CCF"/>
    <w:rsid w:val="00405A66"/>
    <w:rsid w:val="0046110C"/>
    <w:rsid w:val="005C5C90"/>
    <w:rsid w:val="00620A62"/>
    <w:rsid w:val="00662F9C"/>
    <w:rsid w:val="00791EC6"/>
    <w:rsid w:val="00807FFA"/>
    <w:rsid w:val="008116B3"/>
    <w:rsid w:val="00856869"/>
    <w:rsid w:val="008C0F66"/>
    <w:rsid w:val="00900C6E"/>
    <w:rsid w:val="00957EED"/>
    <w:rsid w:val="0096413E"/>
    <w:rsid w:val="009C1951"/>
    <w:rsid w:val="00A8235F"/>
    <w:rsid w:val="00AE7434"/>
    <w:rsid w:val="00B0520A"/>
    <w:rsid w:val="00BB797D"/>
    <w:rsid w:val="00C44412"/>
    <w:rsid w:val="00C764D4"/>
    <w:rsid w:val="00C9448A"/>
    <w:rsid w:val="00CA1100"/>
    <w:rsid w:val="00D21254"/>
    <w:rsid w:val="00D37037"/>
    <w:rsid w:val="00D90D51"/>
    <w:rsid w:val="00D91B7A"/>
    <w:rsid w:val="00DB62BA"/>
    <w:rsid w:val="00DC4610"/>
    <w:rsid w:val="00EA57EB"/>
    <w:rsid w:val="00EB1DB6"/>
    <w:rsid w:val="00EC4D2D"/>
    <w:rsid w:val="00F56025"/>
    <w:rsid w:val="00F82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A2948"/>
  <w15:chartTrackingRefBased/>
  <w15:docId w15:val="{6E1F1C19-9401-4FA4-B918-F80EA1EE9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052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5C9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5C9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5C9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5C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5C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5C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5C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5C90"/>
    <w:rPr>
      <w:b/>
      <w:b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D90D51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6F7194-6038-4CFB-9E43-5082BF95F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12</Pages>
  <Words>1447</Words>
  <Characters>8685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117/2022 Prezydenta Miasta Włocławek z dn. 30 marca 2022 r.</dc:title>
  <dc:subject/>
  <dc:creator>Błażej Sekretarski</dc:creator>
  <cp:keywords/>
  <dc:description/>
  <cp:lastModifiedBy>Karolina Budziszewska</cp:lastModifiedBy>
  <cp:revision>21</cp:revision>
  <cp:lastPrinted>2022-03-31T06:17:00Z</cp:lastPrinted>
  <dcterms:created xsi:type="dcterms:W3CDTF">2021-12-07T07:03:00Z</dcterms:created>
  <dcterms:modified xsi:type="dcterms:W3CDTF">2022-03-31T06:37:00Z</dcterms:modified>
</cp:coreProperties>
</file>