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5D6B" w14:textId="37591EB6" w:rsidR="001E521F" w:rsidRPr="007334B2" w:rsidRDefault="001D41B6" w:rsidP="006964C7">
      <w:pPr>
        <w:spacing w:line="360" w:lineRule="auto"/>
        <w:jc w:val="both"/>
        <w:rPr>
          <w:rFonts w:ascii="Verdana" w:eastAsia="Verdana" w:hAnsi="Verdana"/>
          <w:sz w:val="19"/>
        </w:rPr>
      </w:pPr>
      <w:r w:rsidRPr="007334B2">
        <w:rPr>
          <w:rFonts w:ascii="Arial Narrow" w:hAnsi="Arial Narrow"/>
          <w:noProof/>
          <w:sz w:val="24"/>
          <w:szCs w:val="24"/>
        </w:rPr>
        <w:drawing>
          <wp:inline distT="0" distB="0" distL="0" distR="0" wp14:anchorId="70FC0607" wp14:editId="1A956038">
            <wp:extent cx="1621391" cy="600034"/>
            <wp:effectExtent l="0" t="0" r="0" b="0"/>
            <wp:docPr id="4" name="Obraz 4" descr="Logo Funduszy Norwe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Logo Funduszy Norweskich"/>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640866" cy="607241"/>
                    </a:xfrm>
                    <a:prstGeom prst="rect">
                      <a:avLst/>
                    </a:prstGeom>
                  </pic:spPr>
                </pic:pic>
              </a:graphicData>
            </a:graphic>
          </wp:inline>
        </w:drawing>
      </w:r>
    </w:p>
    <w:p w14:paraId="7548145F" w14:textId="77777777" w:rsidR="008B10D5" w:rsidRPr="007334B2" w:rsidRDefault="008B10D5" w:rsidP="006964C7">
      <w:pPr>
        <w:spacing w:line="360" w:lineRule="auto"/>
        <w:ind w:left="420" w:right="740"/>
        <w:jc w:val="both"/>
        <w:rPr>
          <w:rFonts w:ascii="Verdana" w:eastAsia="Verdana" w:hAnsi="Verdana"/>
          <w:b/>
          <w:sz w:val="48"/>
        </w:rPr>
      </w:pPr>
    </w:p>
    <w:p w14:paraId="6942661D" w14:textId="2A3D02CB" w:rsidR="008B10D5" w:rsidRPr="00F624F1" w:rsidRDefault="00AD727E" w:rsidP="00F624F1">
      <w:pPr>
        <w:spacing w:line="360" w:lineRule="auto"/>
        <w:ind w:left="420" w:right="740"/>
        <w:jc w:val="center"/>
        <w:rPr>
          <w:rFonts w:ascii="Arial" w:eastAsia="Verdana" w:hAnsi="Arial"/>
          <w:b/>
          <w:sz w:val="48"/>
          <w:szCs w:val="48"/>
        </w:rPr>
      </w:pPr>
      <w:r w:rsidRPr="00F624F1">
        <w:rPr>
          <w:rFonts w:ascii="Arial" w:eastAsia="Verdana" w:hAnsi="Arial"/>
          <w:b/>
          <w:sz w:val="48"/>
          <w:szCs w:val="48"/>
        </w:rPr>
        <w:t>S</w:t>
      </w:r>
      <w:r w:rsidR="008B10D5" w:rsidRPr="00F624F1">
        <w:rPr>
          <w:rFonts w:ascii="Arial" w:eastAsia="Verdana" w:hAnsi="Arial"/>
          <w:b/>
          <w:sz w:val="48"/>
          <w:szCs w:val="48"/>
        </w:rPr>
        <w:t>trategi</w:t>
      </w:r>
      <w:r w:rsidRPr="00F624F1">
        <w:rPr>
          <w:rFonts w:ascii="Arial" w:eastAsia="Verdana" w:hAnsi="Arial"/>
          <w:b/>
          <w:sz w:val="48"/>
          <w:szCs w:val="48"/>
        </w:rPr>
        <w:t>a</w:t>
      </w:r>
      <w:r w:rsidR="008B10D5" w:rsidRPr="00F624F1">
        <w:rPr>
          <w:rFonts w:ascii="Arial" w:eastAsia="Verdana" w:hAnsi="Arial"/>
          <w:b/>
          <w:sz w:val="48"/>
          <w:szCs w:val="48"/>
        </w:rPr>
        <w:t xml:space="preserve"> zarządzania długiem </w:t>
      </w:r>
      <w:r w:rsidR="009865CB" w:rsidRPr="00F624F1">
        <w:rPr>
          <w:rFonts w:ascii="Arial" w:eastAsia="Verdana" w:hAnsi="Arial"/>
          <w:b/>
          <w:sz w:val="48"/>
          <w:szCs w:val="48"/>
        </w:rPr>
        <w:t>komunalnym</w:t>
      </w:r>
      <w:r w:rsidR="003A6FBA" w:rsidRPr="00F624F1">
        <w:rPr>
          <w:rFonts w:ascii="Arial" w:eastAsia="Verdana" w:hAnsi="Arial"/>
          <w:b/>
          <w:sz w:val="48"/>
          <w:szCs w:val="48"/>
        </w:rPr>
        <w:t xml:space="preserve"> </w:t>
      </w:r>
      <w:r w:rsidR="008B10D5" w:rsidRPr="00F624F1">
        <w:rPr>
          <w:rFonts w:ascii="Arial" w:eastAsia="Verdana" w:hAnsi="Arial"/>
          <w:b/>
          <w:sz w:val="48"/>
          <w:szCs w:val="48"/>
        </w:rPr>
        <w:t>Miasta Włocławek</w:t>
      </w:r>
    </w:p>
    <w:p w14:paraId="33544C10" w14:textId="77777777" w:rsidR="008B10D5" w:rsidRPr="007334B2" w:rsidRDefault="008B10D5" w:rsidP="006964C7">
      <w:pPr>
        <w:spacing w:line="360" w:lineRule="auto"/>
        <w:jc w:val="both"/>
        <w:rPr>
          <w:rFonts w:ascii="Verdana" w:eastAsia="Verdana" w:hAnsi="Verdana"/>
          <w:b/>
          <w:noProof/>
        </w:rPr>
      </w:pPr>
    </w:p>
    <w:p w14:paraId="43F6E05F" w14:textId="77777777" w:rsidR="008B10D5" w:rsidRPr="007334B2" w:rsidRDefault="008B10D5" w:rsidP="006964C7">
      <w:pPr>
        <w:spacing w:line="360" w:lineRule="auto"/>
        <w:jc w:val="both"/>
        <w:rPr>
          <w:rFonts w:ascii="Verdana" w:eastAsia="Verdana" w:hAnsi="Verdana"/>
          <w:b/>
          <w:noProof/>
        </w:rPr>
      </w:pPr>
    </w:p>
    <w:p w14:paraId="3406BAA3" w14:textId="77777777" w:rsidR="008B10D5" w:rsidRPr="007334B2" w:rsidRDefault="008B10D5" w:rsidP="006964C7">
      <w:pPr>
        <w:spacing w:line="360" w:lineRule="auto"/>
        <w:jc w:val="both"/>
        <w:rPr>
          <w:rFonts w:ascii="Verdana" w:eastAsia="Verdana" w:hAnsi="Verdana"/>
          <w:b/>
          <w:noProof/>
        </w:rPr>
      </w:pPr>
    </w:p>
    <w:p w14:paraId="0132D34A" w14:textId="77777777" w:rsidR="008B10D5" w:rsidRPr="007334B2" w:rsidRDefault="008B10D5" w:rsidP="006964C7">
      <w:pPr>
        <w:spacing w:line="360" w:lineRule="auto"/>
        <w:jc w:val="center"/>
        <w:rPr>
          <w:rFonts w:ascii="Verdana" w:eastAsia="Verdana" w:hAnsi="Verdana"/>
          <w:b/>
        </w:rPr>
      </w:pPr>
      <w:r w:rsidRPr="007334B2">
        <w:rPr>
          <w:rFonts w:ascii="Verdana" w:eastAsia="Verdana" w:hAnsi="Verdana"/>
          <w:b/>
          <w:noProof/>
        </w:rPr>
        <w:drawing>
          <wp:inline distT="0" distB="0" distL="0" distR="0" wp14:anchorId="37A48728" wp14:editId="5DCD7943">
            <wp:extent cx="1409700" cy="2016569"/>
            <wp:effectExtent l="0" t="0" r="0" b="3175"/>
            <wp:docPr id="1" name="Obraz 1" descr="Herb miasta Włocławek przedstawia srebrny mur blankowany na czerwonym tle, ze złotą, zamkniętą bramą i trzema basztami, z których środkowa przykryta jest złotą infułą biskupią. Źródłami dla  wizerunków herbu Włocławka, którego wygląd zmieniał się na przestrzeni wieków, są godła pieczęci m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miasta Włocławek przedstawia srebrny mur blankowany na czerwonym tle, ze złotą, zamkniętą bramą i trzema basztami, z których środkowa przykryta jest złotą infułą biskupią. Źródłami dla  wizerunków herbu Włocławka, którego wygląd zmieniał się na przestrzeni wieków, są godła pieczęci miejski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551" cy="2034952"/>
                    </a:xfrm>
                    <a:prstGeom prst="rect">
                      <a:avLst/>
                    </a:prstGeom>
                  </pic:spPr>
                </pic:pic>
              </a:graphicData>
            </a:graphic>
          </wp:inline>
        </w:drawing>
      </w:r>
    </w:p>
    <w:p w14:paraId="1685AE15" w14:textId="77777777" w:rsidR="00B230AA" w:rsidRPr="007334B2" w:rsidRDefault="00B230AA" w:rsidP="006964C7">
      <w:pPr>
        <w:spacing w:line="360" w:lineRule="auto"/>
        <w:jc w:val="both"/>
        <w:rPr>
          <w:rFonts w:ascii="Verdana" w:eastAsia="Verdana" w:hAnsi="Verdana"/>
          <w:b/>
        </w:rPr>
      </w:pPr>
    </w:p>
    <w:p w14:paraId="16240A11" w14:textId="77777777" w:rsidR="003A6FBA" w:rsidRDefault="003A6FBA">
      <w:pPr>
        <w:spacing w:after="160" w:line="259" w:lineRule="auto"/>
        <w:rPr>
          <w:rFonts w:ascii="Verdana" w:eastAsia="Verdana" w:hAnsi="Verdana"/>
          <w:b/>
        </w:rPr>
      </w:pPr>
      <w:r>
        <w:rPr>
          <w:rFonts w:ascii="Verdana" w:eastAsia="Verdana" w:hAnsi="Verdana"/>
          <w:b/>
        </w:rPr>
        <w:br w:type="page"/>
      </w:r>
    </w:p>
    <w:p w14:paraId="59FE9793" w14:textId="01A0F001" w:rsidR="008B10D5" w:rsidRPr="00401B7E" w:rsidRDefault="001D41B6" w:rsidP="007D5011">
      <w:pPr>
        <w:spacing w:line="360" w:lineRule="auto"/>
        <w:ind w:left="2829" w:right="1418"/>
        <w:rPr>
          <w:rFonts w:ascii="Arial" w:eastAsia="Verdana" w:hAnsi="Arial"/>
          <w:b/>
          <w:sz w:val="24"/>
          <w:szCs w:val="24"/>
        </w:rPr>
      </w:pPr>
      <w:r w:rsidRPr="00401B7E">
        <w:rPr>
          <w:rFonts w:ascii="Arial" w:eastAsia="Verdana" w:hAnsi="Arial"/>
          <w:b/>
          <w:sz w:val="24"/>
          <w:szCs w:val="24"/>
        </w:rPr>
        <w:lastRenderedPageBreak/>
        <w:t>Włocławek, 01 sierpnia 2022 r.</w:t>
      </w:r>
    </w:p>
    <w:p w14:paraId="329FCFA7" w14:textId="3541CE1C" w:rsidR="0026130C" w:rsidRPr="007334B2" w:rsidRDefault="0026130C" w:rsidP="006964C7">
      <w:pPr>
        <w:spacing w:line="360" w:lineRule="auto"/>
        <w:jc w:val="both"/>
        <w:rPr>
          <w:rFonts w:ascii="Verdana" w:eastAsia="Verdana" w:hAnsi="Verdana"/>
          <w:b/>
        </w:rPr>
      </w:pPr>
    </w:p>
    <w:sdt>
      <w:sdtPr>
        <w:rPr>
          <w:rFonts w:ascii="Verdana" w:eastAsia="Calibri" w:hAnsi="Verdana" w:cs="Arial"/>
          <w:color w:val="auto"/>
          <w:sz w:val="20"/>
          <w:szCs w:val="20"/>
        </w:rPr>
        <w:id w:val="78872414"/>
        <w:docPartObj>
          <w:docPartGallery w:val="Table of Contents"/>
          <w:docPartUnique/>
        </w:docPartObj>
      </w:sdtPr>
      <w:sdtEndPr>
        <w:rPr>
          <w:b/>
          <w:bCs/>
        </w:rPr>
      </w:sdtEndPr>
      <w:sdtContent>
        <w:p w14:paraId="28A0497E" w14:textId="5108E616" w:rsidR="00B230AA" w:rsidRPr="007334B2" w:rsidRDefault="00B230AA" w:rsidP="00B230AA">
          <w:pPr>
            <w:pStyle w:val="Nagwekspisutreci"/>
            <w:jc w:val="center"/>
            <w:rPr>
              <w:rFonts w:ascii="Verdana" w:hAnsi="Verdana"/>
              <w:b/>
              <w:bCs/>
              <w:color w:val="auto"/>
              <w:sz w:val="24"/>
              <w:szCs w:val="24"/>
            </w:rPr>
          </w:pPr>
          <w:r w:rsidRPr="007334B2">
            <w:rPr>
              <w:rFonts w:ascii="Verdana" w:hAnsi="Verdana"/>
              <w:b/>
              <w:bCs/>
              <w:color w:val="auto"/>
              <w:sz w:val="24"/>
              <w:szCs w:val="24"/>
            </w:rPr>
            <w:t>Spis treści</w:t>
          </w:r>
        </w:p>
        <w:p w14:paraId="5D6FBFF8" w14:textId="23246F1A" w:rsidR="00B230AA" w:rsidRPr="007334B2" w:rsidRDefault="00B230AA" w:rsidP="00B230AA">
          <w:pPr>
            <w:rPr>
              <w:rFonts w:ascii="Verdana" w:hAnsi="Verdana"/>
            </w:rPr>
          </w:pPr>
        </w:p>
        <w:p w14:paraId="47C70266" w14:textId="77777777" w:rsidR="00B230AA" w:rsidRPr="007334B2" w:rsidRDefault="00B230AA" w:rsidP="00B230AA">
          <w:pPr>
            <w:rPr>
              <w:rFonts w:ascii="Verdana" w:hAnsi="Verdana"/>
            </w:rPr>
          </w:pPr>
        </w:p>
        <w:p w14:paraId="2CBCAB61" w14:textId="22FAFAA2" w:rsidR="00B230AA" w:rsidRPr="007334B2" w:rsidRDefault="00B230AA" w:rsidP="00B230AA">
          <w:pPr>
            <w:pStyle w:val="Spistreci1"/>
            <w:tabs>
              <w:tab w:val="right" w:leader="dot" w:pos="9770"/>
            </w:tabs>
            <w:spacing w:line="480" w:lineRule="auto"/>
            <w:rPr>
              <w:rFonts w:ascii="Verdana" w:hAnsi="Verdana" w:cstheme="minorBidi"/>
              <w:noProof/>
            </w:rPr>
          </w:pPr>
          <w:r w:rsidRPr="007334B2">
            <w:rPr>
              <w:rFonts w:ascii="Verdana" w:hAnsi="Verdana"/>
            </w:rPr>
            <w:fldChar w:fldCharType="begin"/>
          </w:r>
          <w:r w:rsidRPr="007334B2">
            <w:rPr>
              <w:rFonts w:ascii="Verdana" w:hAnsi="Verdana"/>
            </w:rPr>
            <w:instrText xml:space="preserve"> TOC \o "1-3" \h \z \u </w:instrText>
          </w:r>
          <w:r w:rsidRPr="007334B2">
            <w:rPr>
              <w:rFonts w:ascii="Verdana" w:hAnsi="Verdana"/>
            </w:rPr>
            <w:fldChar w:fldCharType="separate"/>
          </w:r>
          <w:hyperlink w:anchor="_Toc109792029" w:history="1">
            <w:r w:rsidRPr="007334B2">
              <w:rPr>
                <w:rStyle w:val="Hipercze"/>
                <w:rFonts w:ascii="Verdana" w:hAnsi="Verdana"/>
                <w:b/>
                <w:bCs/>
                <w:noProof/>
                <w:color w:val="auto"/>
              </w:rPr>
              <w:t>Wprowadzenie</w:t>
            </w:r>
            <w:r w:rsidRPr="007334B2">
              <w:rPr>
                <w:rFonts w:ascii="Verdana" w:hAnsi="Verdana"/>
                <w:noProof/>
                <w:webHidden/>
              </w:rPr>
              <w:tab/>
            </w:r>
            <w:r w:rsidRPr="007334B2">
              <w:rPr>
                <w:rFonts w:ascii="Verdana" w:hAnsi="Verdana"/>
                <w:noProof/>
                <w:webHidden/>
              </w:rPr>
              <w:fldChar w:fldCharType="begin"/>
            </w:r>
            <w:r w:rsidRPr="007334B2">
              <w:rPr>
                <w:rFonts w:ascii="Verdana" w:hAnsi="Verdana"/>
                <w:noProof/>
                <w:webHidden/>
              </w:rPr>
              <w:instrText xml:space="preserve"> PAGEREF _Toc109792029 \h </w:instrText>
            </w:r>
            <w:r w:rsidRPr="007334B2">
              <w:rPr>
                <w:rFonts w:ascii="Verdana" w:hAnsi="Verdana"/>
                <w:noProof/>
                <w:webHidden/>
              </w:rPr>
            </w:r>
            <w:r w:rsidRPr="007334B2">
              <w:rPr>
                <w:rFonts w:ascii="Verdana" w:hAnsi="Verdana"/>
                <w:noProof/>
                <w:webHidden/>
              </w:rPr>
              <w:fldChar w:fldCharType="separate"/>
            </w:r>
            <w:r w:rsidR="00401B7E">
              <w:rPr>
                <w:rFonts w:ascii="Verdana" w:hAnsi="Verdana"/>
                <w:noProof/>
                <w:webHidden/>
              </w:rPr>
              <w:t>3</w:t>
            </w:r>
            <w:r w:rsidRPr="007334B2">
              <w:rPr>
                <w:rFonts w:ascii="Verdana" w:hAnsi="Verdana"/>
                <w:noProof/>
                <w:webHidden/>
              </w:rPr>
              <w:fldChar w:fldCharType="end"/>
            </w:r>
          </w:hyperlink>
        </w:p>
        <w:p w14:paraId="5D077869" w14:textId="40D66F8D" w:rsidR="00B230AA" w:rsidRPr="007334B2" w:rsidRDefault="00000000" w:rsidP="00B230AA">
          <w:pPr>
            <w:pStyle w:val="Spistreci1"/>
            <w:tabs>
              <w:tab w:val="right" w:leader="dot" w:pos="9770"/>
            </w:tabs>
            <w:spacing w:line="480" w:lineRule="auto"/>
            <w:rPr>
              <w:rFonts w:ascii="Verdana" w:hAnsi="Verdana" w:cstheme="minorBidi"/>
              <w:noProof/>
            </w:rPr>
          </w:pPr>
          <w:hyperlink w:anchor="_Toc109792030" w:history="1">
            <w:r w:rsidR="00B230AA" w:rsidRPr="007334B2">
              <w:rPr>
                <w:rStyle w:val="Hipercze"/>
                <w:rFonts w:ascii="Verdana" w:hAnsi="Verdana"/>
                <w:b/>
                <w:bCs/>
                <w:noProof/>
                <w:color w:val="auto"/>
              </w:rPr>
              <w:t>1. Analiza wysokości i struktury długu Miasta Włocławek</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_Toc109792030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4</w:t>
            </w:r>
            <w:r w:rsidR="00B230AA" w:rsidRPr="007334B2">
              <w:rPr>
                <w:rFonts w:ascii="Verdana" w:hAnsi="Verdana"/>
                <w:noProof/>
                <w:webHidden/>
              </w:rPr>
              <w:fldChar w:fldCharType="end"/>
            </w:r>
          </w:hyperlink>
        </w:p>
        <w:p w14:paraId="02A33BA0" w14:textId="0C835BC5" w:rsidR="00B230AA" w:rsidRPr="007334B2" w:rsidRDefault="00000000" w:rsidP="00B230AA">
          <w:pPr>
            <w:pStyle w:val="Spistreci2"/>
            <w:tabs>
              <w:tab w:val="left" w:pos="1100"/>
              <w:tab w:val="right" w:leader="dot" w:pos="9770"/>
            </w:tabs>
            <w:spacing w:line="480" w:lineRule="auto"/>
            <w:rPr>
              <w:rFonts w:ascii="Verdana" w:hAnsi="Verdana" w:cstheme="minorBidi"/>
              <w:noProof/>
            </w:rPr>
          </w:pPr>
          <w:hyperlink w:anchor="_Toc109792031" w:history="1">
            <w:r w:rsidR="00B230AA" w:rsidRPr="007334B2">
              <w:rPr>
                <w:rStyle w:val="Hipercze"/>
                <w:rFonts w:ascii="Verdana" w:eastAsia="Verdana" w:hAnsi="Verdana"/>
                <w:b/>
                <w:bCs/>
                <w:noProof/>
                <w:color w:val="auto"/>
              </w:rPr>
              <w:t>1.1.</w:t>
            </w:r>
            <w:r w:rsidR="00B230AA" w:rsidRPr="007334B2">
              <w:rPr>
                <w:rFonts w:ascii="Verdana" w:hAnsi="Verdana" w:cstheme="minorBidi"/>
                <w:noProof/>
              </w:rPr>
              <w:tab/>
            </w:r>
            <w:r w:rsidR="00B230AA" w:rsidRPr="007334B2">
              <w:rPr>
                <w:rStyle w:val="Hipercze"/>
                <w:rFonts w:ascii="Verdana" w:eastAsia="Verdana" w:hAnsi="Verdana"/>
                <w:b/>
                <w:bCs/>
                <w:noProof/>
                <w:color w:val="auto"/>
              </w:rPr>
              <w:t xml:space="preserve">Wysokość </w:t>
            </w:r>
            <w:r w:rsidR="00471D55" w:rsidRPr="007334B2">
              <w:rPr>
                <w:rStyle w:val="Hipercze"/>
                <w:rFonts w:ascii="Verdana" w:eastAsia="Verdana" w:hAnsi="Verdana"/>
                <w:b/>
                <w:bCs/>
                <w:noProof/>
                <w:color w:val="auto"/>
              </w:rPr>
              <w:t>i</w:t>
            </w:r>
            <w:r w:rsidR="00471D55" w:rsidRPr="007334B2">
              <w:rPr>
                <w:rStyle w:val="Hipercze"/>
                <w:rFonts w:ascii="Verdana" w:eastAsia="Verdana" w:hAnsi="Verdana"/>
                <w:b/>
                <w:bCs/>
                <w:noProof/>
                <w:color w:val="auto"/>
              </w:rPr>
              <w:t xml:space="preserve"> </w:t>
            </w:r>
            <w:r w:rsidR="00471D55" w:rsidRPr="007334B2">
              <w:rPr>
                <w:rStyle w:val="Hipercze"/>
                <w:rFonts w:ascii="Verdana" w:eastAsia="Verdana" w:hAnsi="Verdana"/>
                <w:b/>
                <w:bCs/>
                <w:noProof/>
                <w:color w:val="auto"/>
              </w:rPr>
              <w:t xml:space="preserve">struktura </w:t>
            </w:r>
            <w:r w:rsidR="00B230AA" w:rsidRPr="007334B2">
              <w:rPr>
                <w:rStyle w:val="Hipercze"/>
                <w:rFonts w:ascii="Verdana" w:eastAsia="Verdana" w:hAnsi="Verdana"/>
                <w:b/>
                <w:bCs/>
                <w:noProof/>
                <w:color w:val="auto"/>
              </w:rPr>
              <w:t>długu w latach 2017-2021</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_Toc109792031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4</w:t>
            </w:r>
            <w:r w:rsidR="00B230AA" w:rsidRPr="007334B2">
              <w:rPr>
                <w:rFonts w:ascii="Verdana" w:hAnsi="Verdana"/>
                <w:noProof/>
                <w:webHidden/>
              </w:rPr>
              <w:fldChar w:fldCharType="end"/>
            </w:r>
          </w:hyperlink>
        </w:p>
        <w:p w14:paraId="4B3316AE" w14:textId="71BF0D8F" w:rsidR="00B230AA" w:rsidRPr="007334B2" w:rsidRDefault="00000000" w:rsidP="00B230AA">
          <w:pPr>
            <w:pStyle w:val="Spistreci2"/>
            <w:tabs>
              <w:tab w:val="left" w:pos="1100"/>
              <w:tab w:val="right" w:leader="dot" w:pos="9770"/>
            </w:tabs>
            <w:spacing w:line="480" w:lineRule="auto"/>
            <w:rPr>
              <w:rFonts w:ascii="Verdana" w:hAnsi="Verdana" w:cstheme="minorBidi"/>
              <w:noProof/>
            </w:rPr>
          </w:pPr>
          <w:hyperlink w:anchor="_Toc109792032" w:history="1">
            <w:r w:rsidR="00B230AA" w:rsidRPr="007334B2">
              <w:rPr>
                <w:rStyle w:val="Hipercze"/>
                <w:rFonts w:ascii="Verdana" w:eastAsia="Verdana" w:hAnsi="Verdana"/>
                <w:b/>
                <w:bCs/>
                <w:noProof/>
                <w:color w:val="auto"/>
              </w:rPr>
              <w:t>1.2.</w:t>
            </w:r>
            <w:r w:rsidR="00B230AA" w:rsidRPr="007334B2">
              <w:rPr>
                <w:rFonts w:ascii="Verdana" w:hAnsi="Verdana" w:cstheme="minorBidi"/>
                <w:noProof/>
              </w:rPr>
              <w:tab/>
            </w:r>
            <w:r w:rsidR="00B230AA" w:rsidRPr="007334B2">
              <w:rPr>
                <w:rStyle w:val="Hipercze"/>
                <w:rFonts w:ascii="Verdana" w:eastAsia="Verdana" w:hAnsi="Verdana"/>
                <w:b/>
                <w:bCs/>
                <w:noProof/>
                <w:color w:val="auto"/>
              </w:rPr>
              <w:t>Koszt obsługi długu w latach 2017-2021</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_Toc109792032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6</w:t>
            </w:r>
            <w:r w:rsidR="00B230AA" w:rsidRPr="007334B2">
              <w:rPr>
                <w:rFonts w:ascii="Verdana" w:hAnsi="Verdana"/>
                <w:noProof/>
                <w:webHidden/>
              </w:rPr>
              <w:fldChar w:fldCharType="end"/>
            </w:r>
          </w:hyperlink>
        </w:p>
        <w:p w14:paraId="01F9FBD7" w14:textId="21381848" w:rsidR="00B230AA" w:rsidRPr="007334B2" w:rsidRDefault="00000000" w:rsidP="00B230AA">
          <w:pPr>
            <w:pStyle w:val="Spistreci2"/>
            <w:tabs>
              <w:tab w:val="left" w:pos="1100"/>
              <w:tab w:val="right" w:leader="dot" w:pos="9770"/>
            </w:tabs>
            <w:spacing w:line="480" w:lineRule="auto"/>
            <w:rPr>
              <w:rFonts w:ascii="Verdana" w:hAnsi="Verdana" w:cstheme="minorBidi"/>
              <w:noProof/>
            </w:rPr>
          </w:pPr>
          <w:hyperlink w:anchor="_Toc109792033" w:history="1">
            <w:r w:rsidR="00B230AA" w:rsidRPr="007334B2">
              <w:rPr>
                <w:rStyle w:val="Hipercze"/>
                <w:rFonts w:ascii="Verdana" w:eastAsia="Verdana" w:hAnsi="Verdana"/>
                <w:b/>
                <w:bCs/>
                <w:noProof/>
                <w:color w:val="auto"/>
              </w:rPr>
              <w:t>1.3.</w:t>
            </w:r>
            <w:r w:rsidR="00B230AA" w:rsidRPr="007334B2">
              <w:rPr>
                <w:rFonts w:ascii="Verdana" w:hAnsi="Verdana" w:cstheme="minorBidi"/>
                <w:noProof/>
              </w:rPr>
              <w:tab/>
            </w:r>
            <w:r w:rsidR="00B230AA" w:rsidRPr="007334B2">
              <w:rPr>
                <w:rStyle w:val="Hipercze"/>
                <w:rFonts w:ascii="Verdana" w:eastAsia="Verdana" w:hAnsi="Verdana"/>
                <w:b/>
                <w:bCs/>
                <w:noProof/>
                <w:color w:val="auto"/>
              </w:rPr>
              <w:t>Zestawienie wysokości zadłużenia i kosztu obsługi długu w latach 2017-2021</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_Toc109792033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8</w:t>
            </w:r>
            <w:r w:rsidR="00B230AA" w:rsidRPr="007334B2">
              <w:rPr>
                <w:rFonts w:ascii="Verdana" w:hAnsi="Verdana"/>
                <w:noProof/>
                <w:webHidden/>
              </w:rPr>
              <w:fldChar w:fldCharType="end"/>
            </w:r>
          </w:hyperlink>
        </w:p>
        <w:p w14:paraId="6E3F1D6D" w14:textId="55C7BBFB" w:rsidR="00B230AA" w:rsidRPr="007334B2" w:rsidRDefault="00000000" w:rsidP="00B230AA">
          <w:pPr>
            <w:pStyle w:val="Spistreci2"/>
            <w:tabs>
              <w:tab w:val="left" w:pos="1100"/>
              <w:tab w:val="right" w:leader="dot" w:pos="9770"/>
            </w:tabs>
            <w:spacing w:line="480" w:lineRule="auto"/>
            <w:rPr>
              <w:rFonts w:ascii="Verdana" w:hAnsi="Verdana" w:cstheme="minorBidi"/>
              <w:noProof/>
            </w:rPr>
          </w:pPr>
          <w:hyperlink w:anchor="_Toc109792034" w:history="1">
            <w:r w:rsidR="00B230AA" w:rsidRPr="007334B2">
              <w:rPr>
                <w:rStyle w:val="Hipercze"/>
                <w:rFonts w:ascii="Verdana" w:eastAsia="Verdana" w:hAnsi="Verdana"/>
                <w:b/>
                <w:bCs/>
                <w:noProof/>
                <w:color w:val="auto"/>
              </w:rPr>
              <w:t>1.4.</w:t>
            </w:r>
            <w:r w:rsidR="00B230AA" w:rsidRPr="007334B2">
              <w:rPr>
                <w:rFonts w:ascii="Verdana" w:hAnsi="Verdana" w:cstheme="minorBidi"/>
                <w:noProof/>
              </w:rPr>
              <w:tab/>
            </w:r>
            <w:r w:rsidR="00B230AA" w:rsidRPr="007334B2">
              <w:rPr>
                <w:rStyle w:val="Hipercze"/>
                <w:rFonts w:ascii="Verdana" w:eastAsia="Verdana" w:hAnsi="Verdana"/>
                <w:b/>
                <w:bCs/>
                <w:noProof/>
                <w:color w:val="auto"/>
              </w:rPr>
              <w:t>Określenie wskaźników monitorujących kondycję finansową Miasta Włocławek</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_Toc109792034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8</w:t>
            </w:r>
            <w:r w:rsidR="00B230AA" w:rsidRPr="007334B2">
              <w:rPr>
                <w:rFonts w:ascii="Verdana" w:hAnsi="Verdana"/>
                <w:noProof/>
                <w:webHidden/>
              </w:rPr>
              <w:fldChar w:fldCharType="end"/>
            </w:r>
          </w:hyperlink>
        </w:p>
        <w:p w14:paraId="0658D2E4" w14:textId="4E18F18C" w:rsidR="00B230AA" w:rsidRPr="007334B2" w:rsidRDefault="00000000" w:rsidP="00B230AA">
          <w:pPr>
            <w:pStyle w:val="Spistreci1"/>
            <w:tabs>
              <w:tab w:val="right" w:leader="dot" w:pos="9770"/>
            </w:tabs>
            <w:spacing w:line="480" w:lineRule="auto"/>
            <w:rPr>
              <w:rFonts w:ascii="Verdana" w:hAnsi="Verdana" w:cstheme="minorBidi"/>
              <w:noProof/>
            </w:rPr>
          </w:pPr>
          <w:hyperlink w:anchor="_Toc109792035" w:history="1">
            <w:r w:rsidR="00B230AA" w:rsidRPr="007334B2">
              <w:rPr>
                <w:rStyle w:val="Hipercze"/>
                <w:rFonts w:ascii="Verdana" w:hAnsi="Verdana"/>
                <w:b/>
                <w:bCs/>
                <w:noProof/>
                <w:color w:val="auto"/>
              </w:rPr>
              <w:t>2.</w:t>
            </w:r>
            <w:r w:rsidR="00735A22" w:rsidRPr="007334B2">
              <w:rPr>
                <w:rStyle w:val="Hipercze"/>
                <w:rFonts w:ascii="Verdana" w:hAnsi="Verdana"/>
                <w:b/>
                <w:bCs/>
                <w:noProof/>
                <w:color w:val="auto"/>
              </w:rPr>
              <w:t xml:space="preserve"> </w:t>
            </w:r>
            <w:r w:rsidR="00B230AA" w:rsidRPr="007334B2">
              <w:rPr>
                <w:rStyle w:val="Hipercze"/>
                <w:rFonts w:ascii="Verdana" w:hAnsi="Verdana"/>
                <w:b/>
                <w:bCs/>
                <w:noProof/>
                <w:color w:val="auto"/>
              </w:rPr>
              <w:t>Uwarunkowania strategii</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_Toc109792035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12</w:t>
            </w:r>
            <w:r w:rsidR="00B230AA" w:rsidRPr="007334B2">
              <w:rPr>
                <w:rFonts w:ascii="Verdana" w:hAnsi="Verdana"/>
                <w:noProof/>
                <w:webHidden/>
              </w:rPr>
              <w:fldChar w:fldCharType="end"/>
            </w:r>
          </w:hyperlink>
        </w:p>
        <w:p w14:paraId="189F3BCA" w14:textId="08ECE4DD" w:rsidR="00B230AA" w:rsidRPr="007334B2" w:rsidRDefault="00000000" w:rsidP="00B230AA">
          <w:pPr>
            <w:pStyle w:val="Spistreci2"/>
            <w:tabs>
              <w:tab w:val="left" w:pos="1100"/>
              <w:tab w:val="right" w:leader="dot" w:pos="9770"/>
            </w:tabs>
            <w:spacing w:line="480" w:lineRule="auto"/>
            <w:rPr>
              <w:rFonts w:ascii="Verdana" w:hAnsi="Verdana" w:cstheme="minorBidi"/>
              <w:noProof/>
            </w:rPr>
          </w:pPr>
          <w:hyperlink w:anchor="_Toc109792036" w:history="1">
            <w:r w:rsidR="00B230AA" w:rsidRPr="007334B2">
              <w:rPr>
                <w:rStyle w:val="Hipercze"/>
                <w:rFonts w:ascii="Verdana" w:eastAsia="Verdana" w:hAnsi="Verdana"/>
                <w:b/>
                <w:bCs/>
                <w:noProof/>
                <w:color w:val="auto"/>
              </w:rPr>
              <w:t>2.1.</w:t>
            </w:r>
            <w:r w:rsidR="00B230AA" w:rsidRPr="007334B2">
              <w:rPr>
                <w:rFonts w:ascii="Verdana" w:hAnsi="Verdana" w:cstheme="minorBidi"/>
                <w:noProof/>
              </w:rPr>
              <w:tab/>
            </w:r>
            <w:r w:rsidR="00B230AA" w:rsidRPr="007334B2">
              <w:rPr>
                <w:rStyle w:val="Hipercze"/>
                <w:rFonts w:ascii="Verdana" w:eastAsia="Verdana" w:hAnsi="Verdana"/>
                <w:b/>
                <w:bCs/>
                <w:noProof/>
                <w:color w:val="auto"/>
              </w:rPr>
              <w:t>Założenia makroekonomiczne</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_Toc109792036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13</w:t>
            </w:r>
            <w:r w:rsidR="00B230AA" w:rsidRPr="007334B2">
              <w:rPr>
                <w:rFonts w:ascii="Verdana" w:hAnsi="Verdana"/>
                <w:noProof/>
                <w:webHidden/>
              </w:rPr>
              <w:fldChar w:fldCharType="end"/>
            </w:r>
          </w:hyperlink>
        </w:p>
        <w:p w14:paraId="2FC56862" w14:textId="4A58D950" w:rsidR="00B230AA" w:rsidRPr="007334B2" w:rsidRDefault="00000000" w:rsidP="00B230AA">
          <w:pPr>
            <w:pStyle w:val="Spistreci2"/>
            <w:tabs>
              <w:tab w:val="left" w:pos="1100"/>
              <w:tab w:val="right" w:leader="dot" w:pos="9770"/>
            </w:tabs>
            <w:spacing w:line="480" w:lineRule="auto"/>
            <w:rPr>
              <w:rFonts w:ascii="Verdana" w:hAnsi="Verdana" w:cstheme="minorBidi"/>
              <w:noProof/>
            </w:rPr>
          </w:pPr>
          <w:hyperlink w:anchor="_Toc109792037" w:history="1">
            <w:r w:rsidR="00B230AA" w:rsidRPr="007334B2">
              <w:rPr>
                <w:rStyle w:val="Hipercze"/>
                <w:rFonts w:ascii="Verdana" w:eastAsia="Verdana" w:hAnsi="Verdana"/>
                <w:b/>
                <w:bCs/>
                <w:noProof/>
                <w:color w:val="auto"/>
              </w:rPr>
              <w:t>2.2.</w:t>
            </w:r>
            <w:r w:rsidR="00B230AA" w:rsidRPr="007334B2">
              <w:rPr>
                <w:rFonts w:ascii="Verdana" w:hAnsi="Verdana" w:cstheme="minorBidi"/>
                <w:noProof/>
              </w:rPr>
              <w:tab/>
            </w:r>
            <w:r w:rsidR="00B230AA" w:rsidRPr="007334B2">
              <w:rPr>
                <w:rStyle w:val="Hipercze"/>
                <w:rFonts w:ascii="Verdana" w:eastAsia="Verdana" w:hAnsi="Verdana"/>
                <w:b/>
                <w:bCs/>
                <w:noProof/>
                <w:color w:val="auto"/>
              </w:rPr>
              <w:t>Założenia realizacji inwestycji</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_Toc109792037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13</w:t>
            </w:r>
            <w:r w:rsidR="00B230AA" w:rsidRPr="007334B2">
              <w:rPr>
                <w:rFonts w:ascii="Verdana" w:hAnsi="Verdana"/>
                <w:noProof/>
                <w:webHidden/>
              </w:rPr>
              <w:fldChar w:fldCharType="end"/>
            </w:r>
          </w:hyperlink>
        </w:p>
        <w:p w14:paraId="434253B0" w14:textId="02DF3ADD" w:rsidR="00B230AA" w:rsidRPr="007334B2" w:rsidRDefault="00000000" w:rsidP="00B230AA">
          <w:pPr>
            <w:pStyle w:val="Spistreci1"/>
            <w:tabs>
              <w:tab w:val="right" w:leader="dot" w:pos="9770"/>
            </w:tabs>
            <w:spacing w:line="480" w:lineRule="auto"/>
            <w:rPr>
              <w:rFonts w:ascii="Verdana" w:hAnsi="Verdana" w:cstheme="minorBidi"/>
              <w:noProof/>
            </w:rPr>
          </w:pPr>
          <w:hyperlink w:anchor="_Toc109792038" w:history="1">
            <w:r w:rsidR="00B230AA" w:rsidRPr="007334B2">
              <w:rPr>
                <w:rStyle w:val="Hipercze"/>
                <w:rFonts w:ascii="Verdana" w:hAnsi="Verdana"/>
                <w:b/>
                <w:bCs/>
                <w:noProof/>
                <w:color w:val="auto"/>
              </w:rPr>
              <w:t>3. Analiza ryzyk związanych z zarządzaniem długiem</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_Toc109792038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13</w:t>
            </w:r>
            <w:r w:rsidR="00B230AA" w:rsidRPr="007334B2">
              <w:rPr>
                <w:rFonts w:ascii="Verdana" w:hAnsi="Verdana"/>
                <w:noProof/>
                <w:webHidden/>
              </w:rPr>
              <w:fldChar w:fldCharType="end"/>
            </w:r>
          </w:hyperlink>
        </w:p>
        <w:p w14:paraId="629169D7" w14:textId="1BFA0C61" w:rsidR="00B230AA" w:rsidRPr="007334B2" w:rsidRDefault="00000000" w:rsidP="00B230AA">
          <w:pPr>
            <w:pStyle w:val="Spistreci1"/>
            <w:tabs>
              <w:tab w:val="right" w:leader="dot" w:pos="9770"/>
            </w:tabs>
            <w:spacing w:line="480" w:lineRule="auto"/>
            <w:rPr>
              <w:rFonts w:ascii="Verdana" w:hAnsi="Verdana" w:cstheme="minorBidi"/>
              <w:noProof/>
            </w:rPr>
          </w:pPr>
          <w:hyperlink w:anchor="_Toc109792039" w:history="1">
            <w:r w:rsidR="00B230AA" w:rsidRPr="007334B2">
              <w:rPr>
                <w:rStyle w:val="Hipercze"/>
                <w:rFonts w:ascii="Verdana" w:hAnsi="Verdana"/>
                <w:b/>
                <w:bCs/>
                <w:noProof/>
                <w:color w:val="auto"/>
              </w:rPr>
              <w:t>4. Realizacja strategii</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_Toc109792039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17</w:t>
            </w:r>
            <w:r w:rsidR="00B230AA" w:rsidRPr="007334B2">
              <w:rPr>
                <w:rFonts w:ascii="Verdana" w:hAnsi="Verdana"/>
                <w:noProof/>
                <w:webHidden/>
              </w:rPr>
              <w:fldChar w:fldCharType="end"/>
            </w:r>
          </w:hyperlink>
        </w:p>
        <w:p w14:paraId="7F965450" w14:textId="08A82DAD" w:rsidR="00B230AA" w:rsidRPr="007334B2" w:rsidRDefault="00000000" w:rsidP="00B230AA">
          <w:pPr>
            <w:pStyle w:val="Spistreci1"/>
            <w:tabs>
              <w:tab w:val="right" w:leader="dot" w:pos="9770"/>
            </w:tabs>
            <w:spacing w:line="480" w:lineRule="auto"/>
            <w:rPr>
              <w:rFonts w:ascii="Verdana" w:hAnsi="Verdana" w:cstheme="minorBidi"/>
              <w:noProof/>
            </w:rPr>
          </w:pPr>
          <w:hyperlink w:anchor="_Toc109792040" w:history="1">
            <w:r w:rsidR="00B230AA" w:rsidRPr="007334B2">
              <w:rPr>
                <w:rStyle w:val="Hipercze"/>
                <w:rFonts w:ascii="Verdana" w:hAnsi="Verdana"/>
                <w:b/>
                <w:noProof/>
                <w:color w:val="auto"/>
              </w:rPr>
              <w:t>5. Zagrożenia związane z real</w:t>
            </w:r>
            <w:r w:rsidR="00B230AA" w:rsidRPr="007334B2">
              <w:rPr>
                <w:rStyle w:val="Hipercze"/>
                <w:rFonts w:ascii="Verdana" w:hAnsi="Verdana"/>
                <w:b/>
                <w:noProof/>
                <w:color w:val="auto"/>
              </w:rPr>
              <w:t>i</w:t>
            </w:r>
            <w:r w:rsidR="00B230AA" w:rsidRPr="007334B2">
              <w:rPr>
                <w:rStyle w:val="Hipercze"/>
                <w:rFonts w:ascii="Verdana" w:hAnsi="Verdana"/>
                <w:b/>
                <w:noProof/>
                <w:color w:val="auto"/>
              </w:rPr>
              <w:t>zacją strategii</w:t>
            </w:r>
            <w:r w:rsidR="00B230AA" w:rsidRPr="007334B2">
              <w:rPr>
                <w:rFonts w:ascii="Verdana" w:hAnsi="Verdana"/>
                <w:noProof/>
                <w:webHidden/>
              </w:rPr>
              <w:tab/>
            </w:r>
            <w:r w:rsidR="00B230AA" w:rsidRPr="007334B2">
              <w:rPr>
                <w:rFonts w:ascii="Verdana" w:hAnsi="Verdana"/>
                <w:noProof/>
                <w:webHidden/>
              </w:rPr>
              <w:fldChar w:fldCharType="begin"/>
            </w:r>
            <w:r w:rsidR="00B230AA" w:rsidRPr="007334B2">
              <w:rPr>
                <w:rFonts w:ascii="Verdana" w:hAnsi="Verdana"/>
                <w:noProof/>
                <w:webHidden/>
              </w:rPr>
              <w:instrText xml:space="preserve"> PAGEREF _Toc109792040 \h </w:instrText>
            </w:r>
            <w:r w:rsidR="00B230AA" w:rsidRPr="007334B2">
              <w:rPr>
                <w:rFonts w:ascii="Verdana" w:hAnsi="Verdana"/>
                <w:noProof/>
                <w:webHidden/>
              </w:rPr>
            </w:r>
            <w:r w:rsidR="00B230AA" w:rsidRPr="007334B2">
              <w:rPr>
                <w:rFonts w:ascii="Verdana" w:hAnsi="Verdana"/>
                <w:noProof/>
                <w:webHidden/>
              </w:rPr>
              <w:fldChar w:fldCharType="separate"/>
            </w:r>
            <w:r w:rsidR="00401B7E">
              <w:rPr>
                <w:rFonts w:ascii="Verdana" w:hAnsi="Verdana"/>
                <w:noProof/>
                <w:webHidden/>
              </w:rPr>
              <w:t>18</w:t>
            </w:r>
            <w:r w:rsidR="00B230AA" w:rsidRPr="007334B2">
              <w:rPr>
                <w:rFonts w:ascii="Verdana" w:hAnsi="Verdana"/>
                <w:noProof/>
                <w:webHidden/>
              </w:rPr>
              <w:fldChar w:fldCharType="end"/>
            </w:r>
          </w:hyperlink>
        </w:p>
        <w:p w14:paraId="28301C33" w14:textId="03386B8E" w:rsidR="00B230AA" w:rsidRPr="007334B2" w:rsidRDefault="00B230AA">
          <w:pPr>
            <w:rPr>
              <w:rFonts w:ascii="Verdana" w:hAnsi="Verdana"/>
            </w:rPr>
          </w:pPr>
          <w:r w:rsidRPr="007334B2">
            <w:rPr>
              <w:rFonts w:ascii="Verdana" w:hAnsi="Verdana"/>
              <w:b/>
              <w:bCs/>
            </w:rPr>
            <w:fldChar w:fldCharType="end"/>
          </w:r>
        </w:p>
      </w:sdtContent>
    </w:sdt>
    <w:p w14:paraId="7F5C5721" w14:textId="548C4018" w:rsidR="006964C7" w:rsidRPr="007334B2" w:rsidRDefault="006964C7" w:rsidP="006964C7">
      <w:pPr>
        <w:spacing w:line="360" w:lineRule="auto"/>
        <w:jc w:val="both"/>
        <w:rPr>
          <w:rFonts w:ascii="Verdana" w:hAnsi="Verdana"/>
          <w:b/>
          <w:bCs/>
          <w:sz w:val="24"/>
          <w:szCs w:val="24"/>
        </w:rPr>
      </w:pPr>
    </w:p>
    <w:p w14:paraId="2383BD6D" w14:textId="26215DC9" w:rsidR="006964C7" w:rsidRPr="007334B2" w:rsidRDefault="006964C7" w:rsidP="006964C7">
      <w:pPr>
        <w:spacing w:line="360" w:lineRule="auto"/>
        <w:jc w:val="both"/>
        <w:rPr>
          <w:rFonts w:ascii="Verdana" w:hAnsi="Verdana"/>
          <w:b/>
          <w:bCs/>
          <w:sz w:val="24"/>
          <w:szCs w:val="24"/>
        </w:rPr>
      </w:pPr>
    </w:p>
    <w:p w14:paraId="6917A77B" w14:textId="77777777" w:rsidR="00390D65" w:rsidRPr="007334B2" w:rsidRDefault="00390D65" w:rsidP="006964C7">
      <w:pPr>
        <w:spacing w:line="360" w:lineRule="auto"/>
        <w:jc w:val="both"/>
        <w:rPr>
          <w:rFonts w:ascii="Verdana" w:hAnsi="Verdana"/>
          <w:b/>
          <w:bCs/>
          <w:sz w:val="24"/>
          <w:szCs w:val="24"/>
        </w:rPr>
      </w:pPr>
    </w:p>
    <w:p w14:paraId="05B79B2E" w14:textId="672D131B" w:rsidR="00871B7F" w:rsidRPr="007334B2" w:rsidRDefault="00871B7F" w:rsidP="006964C7">
      <w:pPr>
        <w:spacing w:line="360" w:lineRule="auto"/>
        <w:jc w:val="both"/>
        <w:rPr>
          <w:rFonts w:ascii="Verdana" w:hAnsi="Verdana"/>
          <w:b/>
          <w:bCs/>
          <w:sz w:val="24"/>
          <w:szCs w:val="24"/>
        </w:rPr>
      </w:pPr>
    </w:p>
    <w:p w14:paraId="4742EA3F" w14:textId="77777777" w:rsidR="003560B8" w:rsidRPr="007334B2" w:rsidRDefault="003560B8" w:rsidP="006964C7">
      <w:pPr>
        <w:spacing w:line="360" w:lineRule="auto"/>
        <w:jc w:val="both"/>
        <w:rPr>
          <w:rFonts w:ascii="Verdana" w:hAnsi="Verdana"/>
          <w:b/>
          <w:bCs/>
          <w:sz w:val="24"/>
          <w:szCs w:val="24"/>
        </w:rPr>
      </w:pPr>
    </w:p>
    <w:p w14:paraId="46A804D5" w14:textId="75CE97C6" w:rsidR="00162CA0" w:rsidRPr="007334B2" w:rsidRDefault="00162CA0" w:rsidP="006964C7">
      <w:pPr>
        <w:spacing w:line="360" w:lineRule="auto"/>
        <w:jc w:val="both"/>
        <w:rPr>
          <w:rFonts w:ascii="Verdana" w:hAnsi="Verdana"/>
          <w:b/>
          <w:bCs/>
          <w:sz w:val="24"/>
          <w:szCs w:val="24"/>
        </w:rPr>
      </w:pPr>
    </w:p>
    <w:p w14:paraId="1EA16019" w14:textId="18227104" w:rsidR="00162CA0" w:rsidRPr="007334B2" w:rsidRDefault="00162CA0" w:rsidP="006964C7">
      <w:pPr>
        <w:spacing w:line="360" w:lineRule="auto"/>
        <w:jc w:val="both"/>
        <w:rPr>
          <w:rFonts w:ascii="Verdana" w:hAnsi="Verdana"/>
          <w:b/>
          <w:bCs/>
          <w:sz w:val="24"/>
          <w:szCs w:val="24"/>
        </w:rPr>
      </w:pPr>
    </w:p>
    <w:p w14:paraId="7C5668B0" w14:textId="77777777" w:rsidR="00791ADA" w:rsidRPr="007334B2" w:rsidRDefault="00791ADA" w:rsidP="006964C7">
      <w:pPr>
        <w:spacing w:line="360" w:lineRule="auto"/>
        <w:jc w:val="both"/>
        <w:rPr>
          <w:rFonts w:ascii="Verdana" w:hAnsi="Verdana"/>
          <w:b/>
          <w:bCs/>
          <w:sz w:val="24"/>
          <w:szCs w:val="24"/>
        </w:rPr>
      </w:pPr>
    </w:p>
    <w:p w14:paraId="24E8661B" w14:textId="0E919B1F" w:rsidR="008B10D5" w:rsidRPr="007334B2" w:rsidRDefault="008B10D5" w:rsidP="00735A22">
      <w:pPr>
        <w:pStyle w:val="Nagwek1"/>
        <w:spacing w:after="240" w:line="360" w:lineRule="auto"/>
        <w:rPr>
          <w:rFonts w:ascii="Arial" w:hAnsi="Arial" w:cs="Arial"/>
          <w:b/>
          <w:bCs/>
          <w:color w:val="auto"/>
          <w:sz w:val="24"/>
          <w:szCs w:val="24"/>
        </w:rPr>
      </w:pPr>
      <w:bookmarkStart w:id="0" w:name="_Toc109792029"/>
      <w:r w:rsidRPr="007334B2">
        <w:rPr>
          <w:rFonts w:ascii="Arial" w:hAnsi="Arial" w:cs="Arial"/>
          <w:b/>
          <w:bCs/>
          <w:color w:val="auto"/>
          <w:sz w:val="24"/>
          <w:szCs w:val="24"/>
        </w:rPr>
        <w:t>Wprowadzenie</w:t>
      </w:r>
      <w:bookmarkEnd w:id="0"/>
    </w:p>
    <w:p w14:paraId="02F8A6C4" w14:textId="77777777" w:rsidR="00791ADA" w:rsidRPr="007334B2" w:rsidRDefault="00791ADA" w:rsidP="00735A22">
      <w:pPr>
        <w:rPr>
          <w:rFonts w:ascii="Arial" w:hAnsi="Arial"/>
          <w:sz w:val="24"/>
          <w:szCs w:val="24"/>
        </w:rPr>
      </w:pPr>
    </w:p>
    <w:p w14:paraId="642015F9" w14:textId="0B87EBFE" w:rsidR="00F23578" w:rsidRPr="007334B2" w:rsidRDefault="00735A22" w:rsidP="00735A22">
      <w:pPr>
        <w:autoSpaceDE w:val="0"/>
        <w:autoSpaceDN w:val="0"/>
        <w:adjustRightInd w:val="0"/>
        <w:spacing w:line="360" w:lineRule="auto"/>
        <w:rPr>
          <w:rFonts w:ascii="Arial" w:hAnsi="Arial"/>
          <w:sz w:val="24"/>
          <w:szCs w:val="24"/>
        </w:rPr>
      </w:pPr>
      <w:r w:rsidRPr="007334B2">
        <w:rPr>
          <w:rFonts w:ascii="Arial" w:hAnsi="Arial"/>
          <w:sz w:val="24"/>
          <w:szCs w:val="24"/>
        </w:rPr>
        <w:t xml:space="preserve"> </w:t>
      </w:r>
      <w:r w:rsidR="00791ADA" w:rsidRPr="007334B2">
        <w:rPr>
          <w:rFonts w:ascii="Arial" w:hAnsi="Arial"/>
          <w:sz w:val="24"/>
          <w:szCs w:val="24"/>
        </w:rPr>
        <w:t xml:space="preserve">Podstawowym zadaniem samorządu terytorialnego jest podejmowanie racjonalnych oraz skutecznych działań zmierzających do zaspokojenia potrzeb danej społeczności. Problematyka zadłużenia należy do najważniejszych aspektów gospodarki i polityki finansowej </w:t>
      </w:r>
      <w:r w:rsidR="00F23578" w:rsidRPr="007334B2">
        <w:rPr>
          <w:rFonts w:ascii="Arial" w:hAnsi="Arial"/>
          <w:sz w:val="24"/>
          <w:szCs w:val="24"/>
        </w:rPr>
        <w:t xml:space="preserve">jednostek samorządu terytorialnego. Celem </w:t>
      </w:r>
      <w:r w:rsidR="008D269F" w:rsidRPr="007334B2">
        <w:rPr>
          <w:rFonts w:ascii="Arial" w:hAnsi="Arial"/>
          <w:sz w:val="24"/>
          <w:szCs w:val="24"/>
        </w:rPr>
        <w:t>umiejętnego zarządzania długiem opracowano niniejszą strategię.</w:t>
      </w:r>
    </w:p>
    <w:p w14:paraId="02A1D0A9" w14:textId="15AE8B3B" w:rsidR="008B10D5" w:rsidRPr="007334B2" w:rsidRDefault="008B10D5" w:rsidP="00735A22">
      <w:pPr>
        <w:autoSpaceDE w:val="0"/>
        <w:autoSpaceDN w:val="0"/>
        <w:adjustRightInd w:val="0"/>
        <w:spacing w:line="360" w:lineRule="auto"/>
        <w:rPr>
          <w:rFonts w:ascii="Arial" w:hAnsi="Arial"/>
          <w:sz w:val="24"/>
          <w:szCs w:val="24"/>
        </w:rPr>
      </w:pPr>
      <w:r w:rsidRPr="007334B2">
        <w:rPr>
          <w:rFonts w:ascii="Arial" w:hAnsi="Arial"/>
          <w:sz w:val="24"/>
          <w:szCs w:val="24"/>
        </w:rPr>
        <w:t xml:space="preserve">Strategia zarządzania długiem komunalnym jest ważnym elementem polityki finansowej Miasta. </w:t>
      </w:r>
      <w:r w:rsidRPr="007334B2">
        <w:rPr>
          <w:rFonts w:ascii="Arial" w:hAnsi="Arial"/>
          <w:sz w:val="24"/>
          <w:szCs w:val="24"/>
        </w:rPr>
        <w:br/>
        <w:t xml:space="preserve">Jej podstawowym celem jest określenie zasad pozyskiwania środków na realizację projektów inwestycyjnych, przy jednoczesnym minimalizowaniu związanych z tym kosztów i </w:t>
      </w:r>
      <w:proofErr w:type="spellStart"/>
      <w:r w:rsidRPr="007334B2">
        <w:rPr>
          <w:rFonts w:ascii="Arial" w:hAnsi="Arial"/>
          <w:sz w:val="24"/>
          <w:szCs w:val="24"/>
        </w:rPr>
        <w:t>ryzyk</w:t>
      </w:r>
      <w:proofErr w:type="spellEnd"/>
      <w:r w:rsidRPr="007334B2">
        <w:rPr>
          <w:rFonts w:ascii="Arial" w:hAnsi="Arial"/>
          <w:sz w:val="24"/>
          <w:szCs w:val="24"/>
        </w:rPr>
        <w:t xml:space="preserve">. </w:t>
      </w:r>
    </w:p>
    <w:p w14:paraId="3B7D8EC1" w14:textId="4BE1AC4C" w:rsidR="007D2482" w:rsidRPr="007334B2" w:rsidRDefault="008B10D5" w:rsidP="00735A22">
      <w:pPr>
        <w:autoSpaceDE w:val="0"/>
        <w:autoSpaceDN w:val="0"/>
        <w:adjustRightInd w:val="0"/>
        <w:spacing w:line="360" w:lineRule="auto"/>
        <w:rPr>
          <w:rFonts w:ascii="Arial" w:hAnsi="Arial"/>
          <w:sz w:val="24"/>
          <w:szCs w:val="24"/>
        </w:rPr>
      </w:pPr>
      <w:r w:rsidRPr="007334B2">
        <w:rPr>
          <w:rFonts w:ascii="Arial" w:hAnsi="Arial"/>
          <w:sz w:val="24"/>
          <w:szCs w:val="24"/>
        </w:rPr>
        <w:t>Takie działanie zabezpiecza Miasto przed ryzykiem utraty płynności finansowej lub/i powiązan</w:t>
      </w:r>
      <w:r w:rsidR="007D2482" w:rsidRPr="007334B2">
        <w:rPr>
          <w:rFonts w:ascii="Arial" w:hAnsi="Arial"/>
          <w:sz w:val="24"/>
          <w:szCs w:val="24"/>
        </w:rPr>
        <w:t>ym</w:t>
      </w:r>
      <w:r w:rsidR="00735A22" w:rsidRPr="007334B2">
        <w:rPr>
          <w:rFonts w:ascii="Arial" w:hAnsi="Arial"/>
          <w:sz w:val="24"/>
          <w:szCs w:val="24"/>
        </w:rPr>
        <w:t xml:space="preserve"> </w:t>
      </w:r>
      <w:r w:rsidRPr="007334B2">
        <w:rPr>
          <w:rFonts w:ascii="Arial" w:hAnsi="Arial"/>
          <w:sz w:val="24"/>
          <w:szCs w:val="24"/>
        </w:rPr>
        <w:t>z ni</w:t>
      </w:r>
      <w:r w:rsidR="007D2482" w:rsidRPr="007334B2">
        <w:rPr>
          <w:rFonts w:ascii="Arial" w:hAnsi="Arial"/>
          <w:sz w:val="24"/>
          <w:szCs w:val="24"/>
        </w:rPr>
        <w:t>m ryzykiem</w:t>
      </w:r>
      <w:r w:rsidRPr="007334B2">
        <w:rPr>
          <w:rFonts w:ascii="Arial" w:hAnsi="Arial"/>
          <w:sz w:val="24"/>
          <w:szCs w:val="24"/>
        </w:rPr>
        <w:t xml:space="preserve"> niewypłacalności, któr</w:t>
      </w:r>
      <w:r w:rsidR="007D2482" w:rsidRPr="007334B2">
        <w:rPr>
          <w:rFonts w:ascii="Arial" w:hAnsi="Arial"/>
          <w:sz w:val="24"/>
          <w:szCs w:val="24"/>
        </w:rPr>
        <w:t>e</w:t>
      </w:r>
      <w:r w:rsidRPr="007334B2">
        <w:rPr>
          <w:rFonts w:ascii="Arial" w:hAnsi="Arial"/>
          <w:sz w:val="24"/>
          <w:szCs w:val="24"/>
        </w:rPr>
        <w:t xml:space="preserve"> mo</w:t>
      </w:r>
      <w:r w:rsidR="007D2482" w:rsidRPr="007334B2">
        <w:rPr>
          <w:rFonts w:ascii="Arial" w:hAnsi="Arial"/>
          <w:sz w:val="24"/>
          <w:szCs w:val="24"/>
        </w:rPr>
        <w:t>gą</w:t>
      </w:r>
      <w:r w:rsidRPr="007334B2">
        <w:rPr>
          <w:rFonts w:ascii="Arial" w:hAnsi="Arial"/>
          <w:sz w:val="24"/>
          <w:szCs w:val="24"/>
        </w:rPr>
        <w:t xml:space="preserve"> się pojawić w procesie zaciągania, obsługi i spłaty zadłużenia. </w:t>
      </w:r>
    </w:p>
    <w:p w14:paraId="14CE9560" w14:textId="1CDBE8C5" w:rsidR="008B10D5" w:rsidRPr="007334B2" w:rsidRDefault="008B10D5" w:rsidP="00735A22">
      <w:pPr>
        <w:autoSpaceDE w:val="0"/>
        <w:autoSpaceDN w:val="0"/>
        <w:adjustRightInd w:val="0"/>
        <w:spacing w:line="360" w:lineRule="auto"/>
        <w:rPr>
          <w:rFonts w:ascii="Arial" w:hAnsi="Arial"/>
          <w:sz w:val="24"/>
          <w:szCs w:val="24"/>
        </w:rPr>
      </w:pPr>
      <w:r w:rsidRPr="007334B2">
        <w:rPr>
          <w:rFonts w:ascii="Arial" w:hAnsi="Arial"/>
          <w:sz w:val="24"/>
          <w:szCs w:val="24"/>
        </w:rPr>
        <w:t xml:space="preserve">Celem nadrzędnym zarządzania długiem pozostaje zapewnienie płynności finansowej, natomiast czynnikami mającymi wpływ na efektywność jej realizacji są decyzje dotyczące: kosztów, okresów zapadalności i ich dywersyfikacji, źródeł finansowania i ich form oraz występującego ryzyka finansowego. </w:t>
      </w:r>
    </w:p>
    <w:p w14:paraId="54453D46" w14:textId="54200ACC" w:rsidR="008B10D5" w:rsidRPr="007334B2" w:rsidRDefault="008B10D5" w:rsidP="00735A22">
      <w:pPr>
        <w:autoSpaceDE w:val="0"/>
        <w:autoSpaceDN w:val="0"/>
        <w:adjustRightInd w:val="0"/>
        <w:spacing w:line="360" w:lineRule="auto"/>
        <w:rPr>
          <w:rFonts w:ascii="Arial" w:hAnsi="Arial"/>
          <w:sz w:val="24"/>
          <w:szCs w:val="24"/>
        </w:rPr>
      </w:pPr>
      <w:r w:rsidRPr="007334B2">
        <w:rPr>
          <w:rFonts w:ascii="Arial" w:hAnsi="Arial"/>
          <w:sz w:val="24"/>
          <w:szCs w:val="24"/>
        </w:rPr>
        <w:t xml:space="preserve">Formalnoprawnym ograniczeniem polityki długu jest indywidualny wskaźnik obsługi długu, </w:t>
      </w:r>
      <w:r w:rsidR="007D2482" w:rsidRPr="007334B2">
        <w:rPr>
          <w:rFonts w:ascii="Arial" w:hAnsi="Arial"/>
          <w:sz w:val="24"/>
          <w:szCs w:val="24"/>
        </w:rPr>
        <w:t>określony w</w:t>
      </w:r>
      <w:r w:rsidRPr="007334B2">
        <w:rPr>
          <w:rFonts w:ascii="Arial" w:hAnsi="Arial"/>
          <w:sz w:val="24"/>
          <w:szCs w:val="24"/>
        </w:rPr>
        <w:t xml:space="preserve"> art. 243 Ustawy z dnia 27 sierpnia 1997 roku o finansach publicznych. Strategia zarządzania długiem Miasta Włocławka obejmuje nie tylko analizę zadłużenia Miasta w celu sfinansowania zadań, ale także wskazuje na konieczność analizowania bieżącej płynności finansowej, </w:t>
      </w:r>
      <w:r w:rsidR="003C238D" w:rsidRPr="007334B2">
        <w:rPr>
          <w:rFonts w:ascii="Arial" w:hAnsi="Arial"/>
          <w:sz w:val="24"/>
          <w:szCs w:val="24"/>
        </w:rPr>
        <w:t>wynikającej z zabezpieczania</w:t>
      </w:r>
      <w:r w:rsidRPr="007334B2">
        <w:rPr>
          <w:rFonts w:ascii="Arial" w:hAnsi="Arial"/>
          <w:sz w:val="24"/>
          <w:szCs w:val="24"/>
        </w:rPr>
        <w:t xml:space="preserve"> w ciągu roku potrzeb finansowych Miasta kredytami odnawialnymi przeznaczonymi na finansowanie przejściowego deficytu budżetu oraz lokowania wolnych środków finansowych. Realizacja powyższych zadań odbywa się na podstawie upoważnień określonych w uchwale Rady Miasta Włocławka w sprawie budżetu Miasta Włocławka na dany rok budżetowy, w której ustala się limit zobowiązań z tytułu zaciąganych kredytów i pożyczek oraz papierów wartościowych na dany rok budżetowy, w tym także na pokrycie występującego w ciągu roku przejściowego deficytu budżetu. W ww. Uchwale określa się również maksymalną wysokość, do której Prezydent może udzielać poręczeń w danym roku budżetowym oraz </w:t>
      </w:r>
      <w:r w:rsidRPr="007334B2">
        <w:rPr>
          <w:rFonts w:ascii="Arial" w:hAnsi="Arial"/>
          <w:sz w:val="24"/>
          <w:szCs w:val="24"/>
        </w:rPr>
        <w:lastRenderedPageBreak/>
        <w:t xml:space="preserve">upoważnia się Prezydenta do lokowania w trakcie realizacji budżetu w danym roku wolnych środków budżetowych. </w:t>
      </w:r>
    </w:p>
    <w:p w14:paraId="7F4C7626" w14:textId="77777777" w:rsidR="008B10D5" w:rsidRPr="007334B2" w:rsidRDefault="008B10D5" w:rsidP="00735A22">
      <w:pPr>
        <w:spacing w:line="360" w:lineRule="auto"/>
        <w:rPr>
          <w:rFonts w:ascii="Arial" w:eastAsia="Times New Roman" w:hAnsi="Arial"/>
          <w:sz w:val="24"/>
          <w:szCs w:val="24"/>
        </w:rPr>
      </w:pPr>
    </w:p>
    <w:p w14:paraId="335D9A33" w14:textId="327A21B0" w:rsidR="008B10D5" w:rsidRPr="007334B2" w:rsidRDefault="008B10D5" w:rsidP="00735A22">
      <w:pPr>
        <w:spacing w:line="360" w:lineRule="auto"/>
        <w:ind w:right="20"/>
        <w:rPr>
          <w:rFonts w:ascii="Arial" w:eastAsia="Verdana" w:hAnsi="Arial"/>
          <w:sz w:val="24"/>
          <w:szCs w:val="24"/>
        </w:rPr>
      </w:pPr>
      <w:r w:rsidRPr="007334B2">
        <w:rPr>
          <w:rFonts w:ascii="Arial" w:eastAsia="Verdana" w:hAnsi="Arial"/>
          <w:sz w:val="24"/>
          <w:szCs w:val="24"/>
        </w:rPr>
        <w:t>Instrumentem stosowanym w planowaniu finansowym w jednostkach samorządu terytorialnego, zgodnie z Ustawą o finansach publicznych z dnia 27 sierpnia 2009 r., jest</w:t>
      </w:r>
      <w:r w:rsidRPr="007334B2">
        <w:rPr>
          <w:rFonts w:ascii="Arial" w:eastAsia="Verdana" w:hAnsi="Arial"/>
          <w:b/>
          <w:sz w:val="24"/>
          <w:szCs w:val="24"/>
        </w:rPr>
        <w:t xml:space="preserve"> </w:t>
      </w:r>
      <w:r w:rsidRPr="007334B2">
        <w:rPr>
          <w:rFonts w:ascii="Arial" w:eastAsia="Verdana" w:hAnsi="Arial"/>
          <w:bCs/>
          <w:sz w:val="24"/>
          <w:szCs w:val="24"/>
        </w:rPr>
        <w:t>Wieloletnia Prognoza Finansowa</w:t>
      </w:r>
      <w:r w:rsidRPr="007334B2">
        <w:rPr>
          <w:rFonts w:ascii="Arial" w:eastAsia="Verdana" w:hAnsi="Arial"/>
          <w:sz w:val="24"/>
          <w:szCs w:val="24"/>
        </w:rPr>
        <w:t>. Stanowi ona dokument planistyczny, przyjmowany</w:t>
      </w:r>
      <w:r w:rsidRPr="007334B2">
        <w:rPr>
          <w:rFonts w:ascii="Arial" w:eastAsia="Verdana" w:hAnsi="Arial"/>
          <w:b/>
          <w:sz w:val="24"/>
          <w:szCs w:val="24"/>
        </w:rPr>
        <w:t xml:space="preserve"> </w:t>
      </w:r>
      <w:r w:rsidRPr="007334B2">
        <w:rPr>
          <w:rFonts w:ascii="Arial" w:eastAsia="Verdana" w:hAnsi="Arial"/>
          <w:sz w:val="24"/>
          <w:szCs w:val="24"/>
        </w:rPr>
        <w:t>w drodze uchwały organu stanowiącego, dający podstawę do prowadzenia racjonalnej, odpowiedzialnej i stabilnej polityki finansowej. Określa między innymi prognozę dochodów i wydatków oraz kwoty długu,</w:t>
      </w:r>
      <w:r w:rsidR="00735A22" w:rsidRPr="007334B2">
        <w:rPr>
          <w:rFonts w:ascii="Arial" w:eastAsia="Verdana" w:hAnsi="Arial"/>
          <w:sz w:val="24"/>
          <w:szCs w:val="24"/>
        </w:rPr>
        <w:t xml:space="preserve"> </w:t>
      </w:r>
      <w:r w:rsidRPr="007334B2">
        <w:rPr>
          <w:rFonts w:ascii="Arial" w:eastAsia="Verdana" w:hAnsi="Arial"/>
          <w:sz w:val="24"/>
          <w:szCs w:val="24"/>
        </w:rPr>
        <w:t>a także zawiera wykaz przedsięwzięć wieloletnich planowanych do realizacji.</w:t>
      </w:r>
      <w:r w:rsidR="00735A22" w:rsidRPr="007334B2">
        <w:rPr>
          <w:rFonts w:ascii="Arial" w:eastAsia="Verdana" w:hAnsi="Arial"/>
          <w:sz w:val="24"/>
          <w:szCs w:val="24"/>
        </w:rPr>
        <w:t xml:space="preserve"> </w:t>
      </w:r>
      <w:r w:rsidRPr="007334B2">
        <w:rPr>
          <w:rFonts w:ascii="Arial" w:eastAsia="Verdana" w:hAnsi="Arial"/>
          <w:sz w:val="24"/>
          <w:szCs w:val="24"/>
        </w:rPr>
        <w:t>Wieloletnia Prognoza Finansowa pozwala, w perspektywie wieloletniej, na określenie możliwych do poniesienia nakładów inwestycyjnych. Jest podstawą do zaplanowania dopuszczalnej kwoty długu, która nie zagraża płynności finansowej Miasta.</w:t>
      </w:r>
    </w:p>
    <w:p w14:paraId="28F15CE3" w14:textId="77777777" w:rsidR="008B10D5" w:rsidRPr="007334B2" w:rsidRDefault="008B10D5" w:rsidP="00735A22">
      <w:pPr>
        <w:spacing w:line="360" w:lineRule="auto"/>
        <w:rPr>
          <w:rFonts w:ascii="Arial" w:eastAsia="Times New Roman" w:hAnsi="Arial"/>
          <w:sz w:val="24"/>
          <w:szCs w:val="24"/>
        </w:rPr>
      </w:pPr>
    </w:p>
    <w:p w14:paraId="010C2181" w14:textId="2E616247" w:rsidR="008B10D5" w:rsidRPr="007334B2" w:rsidRDefault="008B10D5" w:rsidP="00735A22">
      <w:pPr>
        <w:spacing w:line="360" w:lineRule="auto"/>
        <w:ind w:right="40" w:firstLine="708"/>
        <w:rPr>
          <w:rFonts w:ascii="Arial" w:eastAsia="Verdana" w:hAnsi="Arial"/>
          <w:sz w:val="24"/>
          <w:szCs w:val="24"/>
        </w:rPr>
      </w:pPr>
      <w:r w:rsidRPr="007334B2">
        <w:rPr>
          <w:rFonts w:ascii="Arial" w:eastAsia="Verdana" w:hAnsi="Arial"/>
          <w:sz w:val="24"/>
          <w:szCs w:val="24"/>
        </w:rPr>
        <w:t>Efektem przyjętej polityki finansowej Miasta, przedstawionej w strategii, są konkretne założenia oraz dane finansowe ujęte w Wieloletniej Prognozie Finansowej</w:t>
      </w:r>
      <w:r w:rsidR="009E1141" w:rsidRPr="007334B2">
        <w:rPr>
          <w:rFonts w:ascii="Arial" w:eastAsia="Verdana" w:hAnsi="Arial"/>
          <w:sz w:val="24"/>
          <w:szCs w:val="24"/>
        </w:rPr>
        <w:t>.</w:t>
      </w:r>
    </w:p>
    <w:p w14:paraId="496E106E" w14:textId="77777777" w:rsidR="008B10D5" w:rsidRPr="007334B2" w:rsidRDefault="008B10D5" w:rsidP="00735A22">
      <w:pPr>
        <w:pStyle w:val="Nagwek1"/>
        <w:spacing w:line="360" w:lineRule="auto"/>
        <w:rPr>
          <w:rFonts w:ascii="Arial" w:hAnsi="Arial" w:cs="Arial"/>
          <w:b/>
          <w:bCs/>
          <w:color w:val="auto"/>
          <w:sz w:val="24"/>
          <w:szCs w:val="24"/>
        </w:rPr>
      </w:pPr>
      <w:bookmarkStart w:id="1" w:name="_Toc109792030"/>
      <w:r w:rsidRPr="007334B2">
        <w:rPr>
          <w:rFonts w:ascii="Arial" w:hAnsi="Arial" w:cs="Arial"/>
          <w:b/>
          <w:bCs/>
          <w:color w:val="auto"/>
          <w:sz w:val="24"/>
          <w:szCs w:val="24"/>
        </w:rPr>
        <w:t>1. Analiza wysokości i struktury długu Miasta Włocławek</w:t>
      </w:r>
      <w:bookmarkEnd w:id="1"/>
    </w:p>
    <w:p w14:paraId="1E791924" w14:textId="77777777" w:rsidR="008B10D5" w:rsidRPr="007334B2" w:rsidRDefault="008B10D5" w:rsidP="00735A22">
      <w:pPr>
        <w:spacing w:before="240" w:line="360" w:lineRule="auto"/>
        <w:ind w:right="40" w:firstLine="709"/>
        <w:rPr>
          <w:rFonts w:ascii="Arial" w:eastAsia="Verdana" w:hAnsi="Arial"/>
          <w:sz w:val="24"/>
          <w:szCs w:val="24"/>
        </w:rPr>
      </w:pPr>
      <w:r w:rsidRPr="007334B2">
        <w:rPr>
          <w:rFonts w:ascii="Arial" w:eastAsia="Verdana" w:hAnsi="Arial"/>
          <w:sz w:val="24"/>
          <w:szCs w:val="24"/>
        </w:rPr>
        <w:t>Poniżej przedstawiono zmiany w wysokości i strukturze długu Miasta Włocławek w latach 2017-2021.</w:t>
      </w:r>
    </w:p>
    <w:p w14:paraId="26C63C77" w14:textId="45531516" w:rsidR="008B10D5" w:rsidRPr="007334B2" w:rsidRDefault="008B10D5" w:rsidP="00735A22">
      <w:pPr>
        <w:pStyle w:val="Nagwek2"/>
        <w:spacing w:line="360" w:lineRule="auto"/>
        <w:rPr>
          <w:rFonts w:ascii="Arial" w:eastAsia="Verdana" w:hAnsi="Arial" w:cs="Arial"/>
          <w:b/>
          <w:bCs/>
          <w:color w:val="auto"/>
          <w:sz w:val="24"/>
          <w:szCs w:val="24"/>
        </w:rPr>
      </w:pPr>
      <w:bookmarkStart w:id="2" w:name="_Toc109792031"/>
      <w:r w:rsidRPr="007334B2">
        <w:rPr>
          <w:rFonts w:ascii="Arial" w:eastAsia="Verdana" w:hAnsi="Arial" w:cs="Arial"/>
          <w:b/>
          <w:bCs/>
          <w:color w:val="auto"/>
          <w:sz w:val="24"/>
          <w:szCs w:val="24"/>
        </w:rPr>
        <w:t>1.1.</w:t>
      </w:r>
      <w:r w:rsidRPr="007334B2">
        <w:rPr>
          <w:rFonts w:ascii="Arial" w:eastAsia="Times New Roman" w:hAnsi="Arial" w:cs="Arial"/>
          <w:b/>
          <w:bCs/>
          <w:color w:val="auto"/>
          <w:sz w:val="24"/>
          <w:szCs w:val="24"/>
        </w:rPr>
        <w:tab/>
      </w:r>
      <w:r w:rsidRPr="007334B2">
        <w:rPr>
          <w:rFonts w:ascii="Arial" w:eastAsia="Verdana" w:hAnsi="Arial" w:cs="Arial"/>
          <w:b/>
          <w:bCs/>
          <w:color w:val="auto"/>
          <w:sz w:val="24"/>
          <w:szCs w:val="24"/>
        </w:rPr>
        <w:t xml:space="preserve">Wysokość </w:t>
      </w:r>
      <w:r w:rsidR="00471D55" w:rsidRPr="007334B2">
        <w:rPr>
          <w:rFonts w:ascii="Arial" w:eastAsia="Verdana" w:hAnsi="Arial" w:cs="Arial"/>
          <w:b/>
          <w:bCs/>
          <w:color w:val="auto"/>
          <w:sz w:val="24"/>
          <w:szCs w:val="24"/>
        </w:rPr>
        <w:t xml:space="preserve">i struktura </w:t>
      </w:r>
      <w:r w:rsidRPr="007334B2">
        <w:rPr>
          <w:rFonts w:ascii="Arial" w:eastAsia="Verdana" w:hAnsi="Arial" w:cs="Arial"/>
          <w:b/>
          <w:bCs/>
          <w:color w:val="auto"/>
          <w:sz w:val="24"/>
          <w:szCs w:val="24"/>
        </w:rPr>
        <w:t>długu w latach 2017-2021</w:t>
      </w:r>
      <w:bookmarkEnd w:id="2"/>
    </w:p>
    <w:p w14:paraId="1E0A7886" w14:textId="3B0E962A" w:rsidR="008B10D5" w:rsidRPr="007334B2" w:rsidRDefault="008B10D5" w:rsidP="00735A22">
      <w:pPr>
        <w:spacing w:before="240" w:line="360" w:lineRule="auto"/>
        <w:rPr>
          <w:rFonts w:ascii="Arial" w:hAnsi="Arial"/>
          <w:sz w:val="24"/>
          <w:szCs w:val="24"/>
        </w:rPr>
      </w:pPr>
      <w:r w:rsidRPr="007334B2">
        <w:rPr>
          <w:rFonts w:ascii="Arial" w:hAnsi="Arial"/>
          <w:sz w:val="24"/>
          <w:szCs w:val="24"/>
        </w:rPr>
        <w:t>Zadłużenie na dzień 31.12.2017 roku z tytułu kredytów i pożyczek oraz papierów wartościowych /obligacje komunalne/ wynosiło 265 694 272,</w:t>
      </w:r>
      <w:r w:rsidR="00267DD3" w:rsidRPr="007334B2">
        <w:rPr>
          <w:rFonts w:ascii="Arial" w:hAnsi="Arial"/>
          <w:sz w:val="24"/>
          <w:szCs w:val="24"/>
        </w:rPr>
        <w:t>58</w:t>
      </w:r>
      <w:r w:rsidRPr="007334B2">
        <w:rPr>
          <w:rFonts w:ascii="Arial" w:hAnsi="Arial"/>
          <w:sz w:val="24"/>
          <w:szCs w:val="24"/>
        </w:rPr>
        <w:t xml:space="preserve"> zł. Ww</w:t>
      </w:r>
      <w:r w:rsidR="00267DD3" w:rsidRPr="007334B2">
        <w:rPr>
          <w:rFonts w:ascii="Arial" w:hAnsi="Arial"/>
          <w:sz w:val="24"/>
          <w:szCs w:val="24"/>
        </w:rPr>
        <w:t>.</w:t>
      </w:r>
      <w:r w:rsidRPr="007334B2">
        <w:rPr>
          <w:rFonts w:ascii="Arial" w:hAnsi="Arial"/>
          <w:sz w:val="24"/>
          <w:szCs w:val="24"/>
        </w:rPr>
        <w:t xml:space="preserve"> kwota w całości stanowił</w:t>
      </w:r>
      <w:r w:rsidR="00267DD3" w:rsidRPr="007334B2">
        <w:rPr>
          <w:rFonts w:ascii="Arial" w:hAnsi="Arial"/>
          <w:sz w:val="24"/>
          <w:szCs w:val="24"/>
        </w:rPr>
        <w:t>a</w:t>
      </w:r>
      <w:r w:rsidRPr="007334B2">
        <w:rPr>
          <w:rFonts w:ascii="Arial" w:hAnsi="Arial"/>
          <w:sz w:val="24"/>
          <w:szCs w:val="24"/>
        </w:rPr>
        <w:t xml:space="preserve"> zobowiązanie długoterminowe i stanowił</w:t>
      </w:r>
      <w:r w:rsidR="00267DD3" w:rsidRPr="007334B2">
        <w:rPr>
          <w:rFonts w:ascii="Arial" w:hAnsi="Arial"/>
          <w:sz w:val="24"/>
          <w:szCs w:val="24"/>
        </w:rPr>
        <w:t>a</w:t>
      </w:r>
      <w:r w:rsidRPr="007334B2">
        <w:rPr>
          <w:rFonts w:ascii="Arial" w:hAnsi="Arial"/>
          <w:sz w:val="24"/>
          <w:szCs w:val="24"/>
        </w:rPr>
        <w:t xml:space="preserve"> 42,85</w:t>
      </w:r>
      <w:r w:rsidR="00D4415D" w:rsidRPr="007334B2">
        <w:rPr>
          <w:rFonts w:ascii="Arial" w:hAnsi="Arial"/>
          <w:sz w:val="24"/>
          <w:szCs w:val="24"/>
        </w:rPr>
        <w:t xml:space="preserve"> </w:t>
      </w:r>
      <w:r w:rsidRPr="007334B2">
        <w:rPr>
          <w:rFonts w:ascii="Arial" w:hAnsi="Arial"/>
          <w:sz w:val="24"/>
          <w:szCs w:val="24"/>
        </w:rPr>
        <w:t xml:space="preserve">% wykonanych dochodów. Planowana spłata kredytów została w całości uregulowana. Spełnione zostały warunki wynikające z art. 243 Ustawy o finansach publicznych – wskazana kwota nie przekraczała indywidulanego wskaźnika spłat zobowiązań, zarówno po uwzględnieniu </w:t>
      </w:r>
      <w:proofErr w:type="spellStart"/>
      <w:r w:rsidRPr="007334B2">
        <w:rPr>
          <w:rFonts w:ascii="Arial" w:hAnsi="Arial"/>
          <w:sz w:val="24"/>
          <w:szCs w:val="24"/>
        </w:rPr>
        <w:t>wyłączeń</w:t>
      </w:r>
      <w:proofErr w:type="spellEnd"/>
      <w:r w:rsidRPr="007334B2">
        <w:rPr>
          <w:rFonts w:ascii="Arial" w:hAnsi="Arial"/>
          <w:sz w:val="24"/>
          <w:szCs w:val="24"/>
        </w:rPr>
        <w:t>, jak i bez ich uwzględnienia.</w:t>
      </w:r>
    </w:p>
    <w:p w14:paraId="12BE779C" w14:textId="77777777" w:rsidR="008B10D5" w:rsidRPr="007334B2" w:rsidRDefault="008B10D5" w:rsidP="00735A22">
      <w:pPr>
        <w:spacing w:line="360" w:lineRule="auto"/>
        <w:rPr>
          <w:rFonts w:ascii="Arial" w:hAnsi="Arial"/>
          <w:sz w:val="24"/>
          <w:szCs w:val="24"/>
        </w:rPr>
      </w:pPr>
      <w:r w:rsidRPr="007334B2">
        <w:rPr>
          <w:rFonts w:ascii="Arial" w:hAnsi="Arial"/>
          <w:sz w:val="24"/>
          <w:szCs w:val="24"/>
        </w:rPr>
        <w:t>Na dzień 31.12.2017 roku nie wystąpiło zadłużenie z tytułu wymagalnych zobowiązań.</w:t>
      </w:r>
    </w:p>
    <w:p w14:paraId="2FFF67BA" w14:textId="77777777" w:rsidR="008B10D5" w:rsidRPr="007334B2" w:rsidRDefault="008B10D5" w:rsidP="00735A22">
      <w:pPr>
        <w:spacing w:line="360" w:lineRule="auto"/>
        <w:rPr>
          <w:rFonts w:ascii="Arial" w:hAnsi="Arial"/>
          <w:sz w:val="24"/>
          <w:szCs w:val="24"/>
        </w:rPr>
      </w:pPr>
    </w:p>
    <w:p w14:paraId="743B0C0E" w14:textId="39A3984F" w:rsidR="008B10D5" w:rsidRPr="007334B2" w:rsidRDefault="008B10D5" w:rsidP="00735A22">
      <w:pPr>
        <w:spacing w:line="360" w:lineRule="auto"/>
        <w:rPr>
          <w:rFonts w:ascii="Arial" w:hAnsi="Arial"/>
          <w:sz w:val="24"/>
          <w:szCs w:val="24"/>
        </w:rPr>
      </w:pPr>
      <w:r w:rsidRPr="007334B2">
        <w:rPr>
          <w:rFonts w:ascii="Arial" w:hAnsi="Arial"/>
          <w:sz w:val="24"/>
          <w:szCs w:val="24"/>
        </w:rPr>
        <w:t>Zadłużenie na dzień 31.12.2018 roku z tytułu kredytów i pożyczek oraz papierów wartościowych /obligacje komunalne/ zmniejszyło się o kwotę 8 253 079,</w:t>
      </w:r>
      <w:r w:rsidR="00D4415D" w:rsidRPr="007334B2">
        <w:rPr>
          <w:rFonts w:ascii="Arial" w:hAnsi="Arial"/>
          <w:sz w:val="24"/>
          <w:szCs w:val="24"/>
        </w:rPr>
        <w:t xml:space="preserve">94 </w:t>
      </w:r>
      <w:r w:rsidRPr="007334B2">
        <w:rPr>
          <w:rFonts w:ascii="Arial" w:hAnsi="Arial"/>
          <w:sz w:val="24"/>
          <w:szCs w:val="24"/>
        </w:rPr>
        <w:t>zł w stosunku do stanu z dnia 31.12.2017 roku i wynosiło 257 441 19</w:t>
      </w:r>
      <w:r w:rsidR="00D4415D" w:rsidRPr="007334B2">
        <w:rPr>
          <w:rFonts w:ascii="Arial" w:hAnsi="Arial"/>
          <w:sz w:val="24"/>
          <w:szCs w:val="24"/>
        </w:rPr>
        <w:t>2</w:t>
      </w:r>
      <w:r w:rsidRPr="007334B2">
        <w:rPr>
          <w:rFonts w:ascii="Arial" w:hAnsi="Arial"/>
          <w:sz w:val="24"/>
          <w:szCs w:val="24"/>
        </w:rPr>
        <w:t>,</w:t>
      </w:r>
      <w:r w:rsidR="00D4415D" w:rsidRPr="007334B2">
        <w:rPr>
          <w:rFonts w:ascii="Arial" w:hAnsi="Arial"/>
          <w:sz w:val="24"/>
          <w:szCs w:val="24"/>
        </w:rPr>
        <w:t>64</w:t>
      </w:r>
      <w:r w:rsidRPr="007334B2">
        <w:rPr>
          <w:rFonts w:ascii="Arial" w:hAnsi="Arial"/>
          <w:sz w:val="24"/>
          <w:szCs w:val="24"/>
        </w:rPr>
        <w:t xml:space="preserve"> zł. Ww</w:t>
      </w:r>
      <w:r w:rsidR="00D4415D" w:rsidRPr="007334B2">
        <w:rPr>
          <w:rFonts w:ascii="Arial" w:hAnsi="Arial"/>
          <w:sz w:val="24"/>
          <w:szCs w:val="24"/>
        </w:rPr>
        <w:t>.</w:t>
      </w:r>
      <w:r w:rsidRPr="007334B2">
        <w:rPr>
          <w:rFonts w:ascii="Arial" w:hAnsi="Arial"/>
          <w:sz w:val="24"/>
          <w:szCs w:val="24"/>
        </w:rPr>
        <w:t xml:space="preserve"> kwota w całości </w:t>
      </w:r>
      <w:r w:rsidRPr="007334B2">
        <w:rPr>
          <w:rFonts w:ascii="Arial" w:hAnsi="Arial"/>
          <w:sz w:val="24"/>
          <w:szCs w:val="24"/>
        </w:rPr>
        <w:lastRenderedPageBreak/>
        <w:t>stanowił</w:t>
      </w:r>
      <w:r w:rsidR="00D4415D" w:rsidRPr="007334B2">
        <w:rPr>
          <w:rFonts w:ascii="Arial" w:hAnsi="Arial"/>
          <w:sz w:val="24"/>
          <w:szCs w:val="24"/>
        </w:rPr>
        <w:t>a</w:t>
      </w:r>
      <w:r w:rsidRPr="007334B2">
        <w:rPr>
          <w:rFonts w:ascii="Arial" w:hAnsi="Arial"/>
          <w:sz w:val="24"/>
          <w:szCs w:val="24"/>
        </w:rPr>
        <w:t xml:space="preserve"> zobowiązanie długoterminowe i stanowił</w:t>
      </w:r>
      <w:r w:rsidR="00D4415D" w:rsidRPr="007334B2">
        <w:rPr>
          <w:rFonts w:ascii="Arial" w:hAnsi="Arial"/>
          <w:sz w:val="24"/>
          <w:szCs w:val="24"/>
        </w:rPr>
        <w:t>a</w:t>
      </w:r>
      <w:r w:rsidRPr="007334B2">
        <w:rPr>
          <w:rFonts w:ascii="Arial" w:hAnsi="Arial"/>
          <w:sz w:val="24"/>
          <w:szCs w:val="24"/>
        </w:rPr>
        <w:t xml:space="preserve"> 39,16</w:t>
      </w:r>
      <w:r w:rsidR="00D4415D" w:rsidRPr="007334B2">
        <w:rPr>
          <w:rFonts w:ascii="Arial" w:hAnsi="Arial"/>
          <w:sz w:val="24"/>
          <w:szCs w:val="24"/>
        </w:rPr>
        <w:t xml:space="preserve"> </w:t>
      </w:r>
      <w:r w:rsidRPr="007334B2">
        <w:rPr>
          <w:rFonts w:ascii="Arial" w:hAnsi="Arial"/>
          <w:sz w:val="24"/>
          <w:szCs w:val="24"/>
        </w:rPr>
        <w:t xml:space="preserve">% wykonanych dochodów. Planowana spłata kredytów została w całości uregulowana. Spełnione zostały warunki wynikające z art. 243 Ustawy o finansach publicznych – wskazana kwota nie przekraczała indywidulanego wskaźnika spłat zobowiązań, zarówno po uwzględnieniu </w:t>
      </w:r>
      <w:proofErr w:type="spellStart"/>
      <w:r w:rsidRPr="007334B2">
        <w:rPr>
          <w:rFonts w:ascii="Arial" w:hAnsi="Arial"/>
          <w:sz w:val="24"/>
          <w:szCs w:val="24"/>
        </w:rPr>
        <w:t>wyłączeń</w:t>
      </w:r>
      <w:proofErr w:type="spellEnd"/>
      <w:r w:rsidRPr="007334B2">
        <w:rPr>
          <w:rFonts w:ascii="Arial" w:hAnsi="Arial"/>
          <w:sz w:val="24"/>
          <w:szCs w:val="24"/>
        </w:rPr>
        <w:t>, jak i bez ich uwzględnienia.</w:t>
      </w:r>
    </w:p>
    <w:p w14:paraId="184A6BDA" w14:textId="3747E0C8" w:rsidR="008B10D5" w:rsidRPr="007334B2" w:rsidRDefault="008B10D5" w:rsidP="00735A22">
      <w:pPr>
        <w:spacing w:line="360" w:lineRule="auto"/>
        <w:rPr>
          <w:rFonts w:ascii="Arial" w:hAnsi="Arial"/>
          <w:sz w:val="24"/>
          <w:szCs w:val="24"/>
        </w:rPr>
      </w:pPr>
      <w:r w:rsidRPr="007334B2">
        <w:rPr>
          <w:rFonts w:ascii="Arial" w:hAnsi="Arial"/>
          <w:sz w:val="24"/>
          <w:szCs w:val="24"/>
        </w:rPr>
        <w:t>Na dzień 31.12.2018 roku nie wystąpiło zadłużenie z tytułu zobowiązań</w:t>
      </w:r>
      <w:r w:rsidR="00D4415D" w:rsidRPr="007334B2">
        <w:rPr>
          <w:rFonts w:ascii="Arial" w:hAnsi="Arial"/>
          <w:sz w:val="24"/>
          <w:szCs w:val="24"/>
        </w:rPr>
        <w:t xml:space="preserve"> wymagalnych</w:t>
      </w:r>
      <w:r w:rsidRPr="007334B2">
        <w:rPr>
          <w:rFonts w:ascii="Arial" w:hAnsi="Arial"/>
          <w:sz w:val="24"/>
          <w:szCs w:val="24"/>
        </w:rPr>
        <w:t>.</w:t>
      </w:r>
    </w:p>
    <w:p w14:paraId="7A1839EC" w14:textId="77777777" w:rsidR="008B10D5" w:rsidRPr="007334B2" w:rsidRDefault="008B10D5" w:rsidP="00735A22">
      <w:pPr>
        <w:spacing w:line="360" w:lineRule="auto"/>
        <w:rPr>
          <w:rFonts w:ascii="Arial" w:hAnsi="Arial"/>
          <w:sz w:val="24"/>
          <w:szCs w:val="24"/>
        </w:rPr>
      </w:pPr>
    </w:p>
    <w:p w14:paraId="0E7307A0" w14:textId="0C898267" w:rsidR="008B10D5" w:rsidRPr="007334B2" w:rsidRDefault="008B10D5" w:rsidP="00735A22">
      <w:pPr>
        <w:spacing w:line="360" w:lineRule="auto"/>
        <w:rPr>
          <w:rFonts w:ascii="Arial" w:hAnsi="Arial"/>
          <w:sz w:val="24"/>
          <w:szCs w:val="24"/>
        </w:rPr>
      </w:pPr>
      <w:r w:rsidRPr="007334B2">
        <w:rPr>
          <w:rFonts w:ascii="Arial" w:hAnsi="Arial"/>
          <w:sz w:val="24"/>
          <w:szCs w:val="24"/>
        </w:rPr>
        <w:t>Zadłużenie na dzień 31.12.2019 roku z tytułu kredytów i pożyczek oraz papierów wartościowych /obligacje komunalne/ zwiększyło się o kwotę 558 69</w:t>
      </w:r>
      <w:r w:rsidR="00D4415D" w:rsidRPr="007334B2">
        <w:rPr>
          <w:rFonts w:ascii="Arial" w:hAnsi="Arial"/>
          <w:sz w:val="24"/>
          <w:szCs w:val="24"/>
        </w:rPr>
        <w:t>5</w:t>
      </w:r>
      <w:r w:rsidRPr="007334B2">
        <w:rPr>
          <w:rFonts w:ascii="Arial" w:hAnsi="Arial"/>
          <w:sz w:val="24"/>
          <w:szCs w:val="24"/>
        </w:rPr>
        <w:t>,</w:t>
      </w:r>
      <w:r w:rsidR="00D4415D" w:rsidRPr="007334B2">
        <w:rPr>
          <w:rFonts w:ascii="Arial" w:hAnsi="Arial"/>
          <w:sz w:val="24"/>
          <w:szCs w:val="24"/>
        </w:rPr>
        <w:t xml:space="preserve">36 </w:t>
      </w:r>
      <w:r w:rsidRPr="007334B2">
        <w:rPr>
          <w:rFonts w:ascii="Arial" w:hAnsi="Arial"/>
          <w:sz w:val="24"/>
          <w:szCs w:val="24"/>
        </w:rPr>
        <w:t>zł w stosunku do stanu z dnia 31.12.2018 roku i wynosiło 257 999 88</w:t>
      </w:r>
      <w:r w:rsidR="00D4415D" w:rsidRPr="007334B2">
        <w:rPr>
          <w:rFonts w:ascii="Arial" w:hAnsi="Arial"/>
          <w:sz w:val="24"/>
          <w:szCs w:val="24"/>
        </w:rPr>
        <w:t>8</w:t>
      </w:r>
      <w:r w:rsidRPr="007334B2">
        <w:rPr>
          <w:rFonts w:ascii="Arial" w:hAnsi="Arial"/>
          <w:sz w:val="24"/>
          <w:szCs w:val="24"/>
        </w:rPr>
        <w:t>,00 zł. Ww</w:t>
      </w:r>
      <w:r w:rsidR="00D4415D" w:rsidRPr="007334B2">
        <w:rPr>
          <w:rFonts w:ascii="Arial" w:hAnsi="Arial"/>
          <w:sz w:val="24"/>
          <w:szCs w:val="24"/>
        </w:rPr>
        <w:t>.</w:t>
      </w:r>
      <w:r w:rsidRPr="007334B2">
        <w:rPr>
          <w:rFonts w:ascii="Arial" w:hAnsi="Arial"/>
          <w:sz w:val="24"/>
          <w:szCs w:val="24"/>
        </w:rPr>
        <w:t xml:space="preserve"> kwota w całości stanowił</w:t>
      </w:r>
      <w:r w:rsidR="00D4415D" w:rsidRPr="007334B2">
        <w:rPr>
          <w:rFonts w:ascii="Arial" w:hAnsi="Arial"/>
          <w:sz w:val="24"/>
          <w:szCs w:val="24"/>
        </w:rPr>
        <w:t>a</w:t>
      </w:r>
      <w:r w:rsidRPr="007334B2">
        <w:rPr>
          <w:rFonts w:ascii="Arial" w:hAnsi="Arial"/>
          <w:sz w:val="24"/>
          <w:szCs w:val="24"/>
        </w:rPr>
        <w:t xml:space="preserve"> zobowiązanie długoterminowe i stanowił</w:t>
      </w:r>
      <w:r w:rsidR="00D4415D" w:rsidRPr="007334B2">
        <w:rPr>
          <w:rFonts w:ascii="Arial" w:hAnsi="Arial"/>
          <w:sz w:val="24"/>
          <w:szCs w:val="24"/>
        </w:rPr>
        <w:t>a</w:t>
      </w:r>
      <w:r w:rsidRPr="007334B2">
        <w:rPr>
          <w:rFonts w:ascii="Arial" w:hAnsi="Arial"/>
          <w:sz w:val="24"/>
          <w:szCs w:val="24"/>
        </w:rPr>
        <w:t xml:space="preserve"> 35,97</w:t>
      </w:r>
      <w:r w:rsidR="00043151" w:rsidRPr="007334B2">
        <w:rPr>
          <w:rFonts w:ascii="Arial" w:hAnsi="Arial"/>
          <w:sz w:val="24"/>
          <w:szCs w:val="24"/>
        </w:rPr>
        <w:t xml:space="preserve"> </w:t>
      </w:r>
      <w:r w:rsidRPr="007334B2">
        <w:rPr>
          <w:rFonts w:ascii="Arial" w:hAnsi="Arial"/>
          <w:sz w:val="24"/>
          <w:szCs w:val="24"/>
        </w:rPr>
        <w:t xml:space="preserve">% wykonanych dochodów. Planowana spłata kredytów została w całości uregulowana. Spełnione zostały warunki wynikające z art. 243 Ustawy o finansach publicznych – wskazana kwota nie przekraczała indywidulanego wskaźnika spłat zobowiązań, zarówno po uwzględnieniu </w:t>
      </w:r>
      <w:proofErr w:type="spellStart"/>
      <w:r w:rsidRPr="007334B2">
        <w:rPr>
          <w:rFonts w:ascii="Arial" w:hAnsi="Arial"/>
          <w:sz w:val="24"/>
          <w:szCs w:val="24"/>
        </w:rPr>
        <w:t>wyłączeń</w:t>
      </w:r>
      <w:proofErr w:type="spellEnd"/>
      <w:r w:rsidRPr="007334B2">
        <w:rPr>
          <w:rFonts w:ascii="Arial" w:hAnsi="Arial"/>
          <w:sz w:val="24"/>
          <w:szCs w:val="24"/>
        </w:rPr>
        <w:t>, jak i bez ich uwzględnienia.</w:t>
      </w:r>
    </w:p>
    <w:p w14:paraId="6DF84663" w14:textId="24631816" w:rsidR="008B10D5" w:rsidRPr="007334B2" w:rsidRDefault="008B10D5" w:rsidP="00735A22">
      <w:pPr>
        <w:spacing w:line="360" w:lineRule="auto"/>
        <w:rPr>
          <w:rFonts w:ascii="Arial" w:hAnsi="Arial"/>
          <w:sz w:val="24"/>
          <w:szCs w:val="24"/>
        </w:rPr>
      </w:pPr>
      <w:r w:rsidRPr="007334B2">
        <w:rPr>
          <w:rFonts w:ascii="Arial" w:hAnsi="Arial"/>
          <w:sz w:val="24"/>
          <w:szCs w:val="24"/>
        </w:rPr>
        <w:t>Na dzień 31.12.2019 roku nie wystąpiło zadłużenie z tytułu zobowiązań</w:t>
      </w:r>
      <w:r w:rsidR="00043151" w:rsidRPr="007334B2">
        <w:rPr>
          <w:rFonts w:ascii="Arial" w:hAnsi="Arial"/>
          <w:sz w:val="24"/>
          <w:szCs w:val="24"/>
        </w:rPr>
        <w:t xml:space="preserve"> wymagalnych</w:t>
      </w:r>
      <w:r w:rsidRPr="007334B2">
        <w:rPr>
          <w:rFonts w:ascii="Arial" w:hAnsi="Arial"/>
          <w:sz w:val="24"/>
          <w:szCs w:val="24"/>
        </w:rPr>
        <w:t>.</w:t>
      </w:r>
    </w:p>
    <w:p w14:paraId="68B125D2" w14:textId="77777777" w:rsidR="008B10D5" w:rsidRPr="007334B2" w:rsidRDefault="008B10D5" w:rsidP="00735A22">
      <w:pPr>
        <w:spacing w:line="360" w:lineRule="auto"/>
        <w:rPr>
          <w:rFonts w:ascii="Arial" w:hAnsi="Arial"/>
          <w:sz w:val="24"/>
          <w:szCs w:val="24"/>
        </w:rPr>
      </w:pPr>
    </w:p>
    <w:p w14:paraId="6F04CBD1" w14:textId="445B8E11" w:rsidR="008B10D5" w:rsidRPr="007334B2" w:rsidRDefault="008B10D5" w:rsidP="00735A22">
      <w:pPr>
        <w:spacing w:line="360" w:lineRule="auto"/>
        <w:rPr>
          <w:rFonts w:ascii="Arial" w:hAnsi="Arial"/>
          <w:sz w:val="24"/>
          <w:szCs w:val="24"/>
        </w:rPr>
      </w:pPr>
      <w:r w:rsidRPr="007334B2">
        <w:rPr>
          <w:rFonts w:ascii="Arial" w:hAnsi="Arial"/>
          <w:sz w:val="24"/>
          <w:szCs w:val="24"/>
        </w:rPr>
        <w:t>Zadłużenie na dzień 31.12.2020 roku z tytułu kredytów i pożyczek oraz papierów wartościowych /obligacje komunalne/ zwiększyło się o kwotę 25 104 17</w:t>
      </w:r>
      <w:r w:rsidR="00043151" w:rsidRPr="007334B2">
        <w:rPr>
          <w:rFonts w:ascii="Arial" w:hAnsi="Arial"/>
          <w:sz w:val="24"/>
          <w:szCs w:val="24"/>
        </w:rPr>
        <w:t>6</w:t>
      </w:r>
      <w:r w:rsidRPr="007334B2">
        <w:rPr>
          <w:rFonts w:ascii="Arial" w:hAnsi="Arial"/>
          <w:sz w:val="24"/>
          <w:szCs w:val="24"/>
        </w:rPr>
        <w:t>,00</w:t>
      </w:r>
      <w:r w:rsidR="00043151" w:rsidRPr="007334B2">
        <w:rPr>
          <w:rFonts w:ascii="Arial" w:hAnsi="Arial"/>
          <w:sz w:val="24"/>
          <w:szCs w:val="24"/>
        </w:rPr>
        <w:t xml:space="preserve"> </w:t>
      </w:r>
      <w:r w:rsidRPr="007334B2">
        <w:rPr>
          <w:rFonts w:ascii="Arial" w:hAnsi="Arial"/>
          <w:sz w:val="24"/>
          <w:szCs w:val="24"/>
        </w:rPr>
        <w:t>zł w stosunku do stanu z dnia 31.12.2019 roku i wynosiło 283 104 064,00 zł. Ww</w:t>
      </w:r>
      <w:r w:rsidR="00043151" w:rsidRPr="007334B2">
        <w:rPr>
          <w:rFonts w:ascii="Arial" w:hAnsi="Arial"/>
          <w:sz w:val="24"/>
          <w:szCs w:val="24"/>
        </w:rPr>
        <w:t>.</w:t>
      </w:r>
      <w:r w:rsidRPr="007334B2">
        <w:rPr>
          <w:rFonts w:ascii="Arial" w:hAnsi="Arial"/>
          <w:sz w:val="24"/>
          <w:szCs w:val="24"/>
        </w:rPr>
        <w:t xml:space="preserve"> kwota w całości stanowił</w:t>
      </w:r>
      <w:r w:rsidR="00043151" w:rsidRPr="007334B2">
        <w:rPr>
          <w:rFonts w:ascii="Arial" w:hAnsi="Arial"/>
          <w:sz w:val="24"/>
          <w:szCs w:val="24"/>
        </w:rPr>
        <w:t>a</w:t>
      </w:r>
      <w:r w:rsidRPr="007334B2">
        <w:rPr>
          <w:rFonts w:ascii="Arial" w:hAnsi="Arial"/>
          <w:sz w:val="24"/>
          <w:szCs w:val="24"/>
        </w:rPr>
        <w:t xml:space="preserve"> zobowiązanie długoterminowe i stanowił</w:t>
      </w:r>
      <w:r w:rsidR="00043151" w:rsidRPr="007334B2">
        <w:rPr>
          <w:rFonts w:ascii="Arial" w:hAnsi="Arial"/>
          <w:sz w:val="24"/>
          <w:szCs w:val="24"/>
        </w:rPr>
        <w:t>a</w:t>
      </w:r>
      <w:r w:rsidRPr="007334B2">
        <w:rPr>
          <w:rFonts w:ascii="Arial" w:hAnsi="Arial"/>
          <w:sz w:val="24"/>
          <w:szCs w:val="24"/>
        </w:rPr>
        <w:t xml:space="preserve"> 36,38</w:t>
      </w:r>
      <w:r w:rsidR="00043151" w:rsidRPr="007334B2">
        <w:rPr>
          <w:rFonts w:ascii="Arial" w:hAnsi="Arial"/>
          <w:sz w:val="24"/>
          <w:szCs w:val="24"/>
        </w:rPr>
        <w:t xml:space="preserve"> </w:t>
      </w:r>
      <w:r w:rsidRPr="007334B2">
        <w:rPr>
          <w:rFonts w:ascii="Arial" w:hAnsi="Arial"/>
          <w:sz w:val="24"/>
          <w:szCs w:val="24"/>
        </w:rPr>
        <w:t xml:space="preserve">% wykonanych dochodów. Planowana spłata kredytów została w całości uregulowana. Spełnione zostały warunki wynikające z art. 243 Ustawy o finansach publicznych – wskazana kwota nie przekraczała indywidulanego wskaźnika spłat zobowiązań, zarówno po uwzględnieniu </w:t>
      </w:r>
      <w:proofErr w:type="spellStart"/>
      <w:r w:rsidRPr="007334B2">
        <w:rPr>
          <w:rFonts w:ascii="Arial" w:hAnsi="Arial"/>
          <w:sz w:val="24"/>
          <w:szCs w:val="24"/>
        </w:rPr>
        <w:t>wyłączeń</w:t>
      </w:r>
      <w:proofErr w:type="spellEnd"/>
      <w:r w:rsidRPr="007334B2">
        <w:rPr>
          <w:rFonts w:ascii="Arial" w:hAnsi="Arial"/>
          <w:sz w:val="24"/>
          <w:szCs w:val="24"/>
        </w:rPr>
        <w:t>, jak i bez ich uwzględnienia.</w:t>
      </w:r>
    </w:p>
    <w:p w14:paraId="260C0BA9" w14:textId="05A181B5" w:rsidR="008B10D5" w:rsidRPr="007334B2" w:rsidRDefault="008B10D5" w:rsidP="00735A22">
      <w:pPr>
        <w:spacing w:line="360" w:lineRule="auto"/>
        <w:rPr>
          <w:rFonts w:ascii="Arial" w:hAnsi="Arial"/>
          <w:sz w:val="24"/>
          <w:szCs w:val="24"/>
        </w:rPr>
      </w:pPr>
      <w:r w:rsidRPr="007334B2">
        <w:rPr>
          <w:rFonts w:ascii="Arial" w:hAnsi="Arial"/>
          <w:sz w:val="24"/>
          <w:szCs w:val="24"/>
        </w:rPr>
        <w:t>Na dzień 31.12.2020 roku nie wystąpiło zadłużenie z tytułu zobowiązań</w:t>
      </w:r>
      <w:r w:rsidR="00043151" w:rsidRPr="007334B2">
        <w:rPr>
          <w:rFonts w:ascii="Arial" w:hAnsi="Arial"/>
          <w:sz w:val="24"/>
          <w:szCs w:val="24"/>
        </w:rPr>
        <w:t xml:space="preserve"> wymagalnych</w:t>
      </w:r>
      <w:r w:rsidRPr="007334B2">
        <w:rPr>
          <w:rFonts w:ascii="Arial" w:hAnsi="Arial"/>
          <w:sz w:val="24"/>
          <w:szCs w:val="24"/>
        </w:rPr>
        <w:t>.</w:t>
      </w:r>
    </w:p>
    <w:p w14:paraId="37281A40" w14:textId="77777777" w:rsidR="008B10D5" w:rsidRPr="007334B2" w:rsidRDefault="008B10D5" w:rsidP="00735A22">
      <w:pPr>
        <w:spacing w:line="360" w:lineRule="auto"/>
        <w:rPr>
          <w:rFonts w:ascii="Arial" w:hAnsi="Arial"/>
          <w:sz w:val="24"/>
          <w:szCs w:val="24"/>
        </w:rPr>
      </w:pPr>
    </w:p>
    <w:p w14:paraId="1883EA82" w14:textId="0AA61C4E" w:rsidR="008B10D5" w:rsidRPr="007334B2" w:rsidRDefault="008B10D5" w:rsidP="00735A22">
      <w:pPr>
        <w:spacing w:line="360" w:lineRule="auto"/>
        <w:rPr>
          <w:rFonts w:ascii="Arial" w:hAnsi="Arial"/>
          <w:sz w:val="24"/>
          <w:szCs w:val="24"/>
        </w:rPr>
      </w:pPr>
      <w:r w:rsidRPr="007334B2">
        <w:rPr>
          <w:rFonts w:ascii="Arial" w:hAnsi="Arial"/>
          <w:sz w:val="24"/>
          <w:szCs w:val="24"/>
        </w:rPr>
        <w:t xml:space="preserve">Zadłużenie na dzień 31.12.2021 roku z tytułu kredytów i pożyczek oraz papierów wartościowych /obligacje komunalne/ zwiększyło się o kwotę </w:t>
      </w:r>
      <w:r w:rsidR="00043151" w:rsidRPr="007334B2">
        <w:rPr>
          <w:rFonts w:ascii="Arial" w:hAnsi="Arial"/>
          <w:sz w:val="24"/>
          <w:szCs w:val="24"/>
        </w:rPr>
        <w:t>57</w:t>
      </w:r>
      <w:r w:rsidRPr="007334B2">
        <w:rPr>
          <w:rFonts w:ascii="Arial" w:hAnsi="Arial"/>
          <w:sz w:val="24"/>
          <w:szCs w:val="24"/>
        </w:rPr>
        <w:t> </w:t>
      </w:r>
      <w:r w:rsidR="00043151" w:rsidRPr="007334B2">
        <w:rPr>
          <w:rFonts w:ascii="Arial" w:hAnsi="Arial"/>
          <w:sz w:val="24"/>
          <w:szCs w:val="24"/>
        </w:rPr>
        <w:t>318</w:t>
      </w:r>
      <w:r w:rsidRPr="007334B2">
        <w:rPr>
          <w:rFonts w:ascii="Arial" w:hAnsi="Arial"/>
          <w:sz w:val="24"/>
          <w:szCs w:val="24"/>
        </w:rPr>
        <w:t xml:space="preserve"> </w:t>
      </w:r>
      <w:r w:rsidR="00043151" w:rsidRPr="007334B2">
        <w:rPr>
          <w:rFonts w:ascii="Arial" w:hAnsi="Arial"/>
          <w:sz w:val="24"/>
          <w:szCs w:val="24"/>
        </w:rPr>
        <w:t>963</w:t>
      </w:r>
      <w:r w:rsidRPr="007334B2">
        <w:rPr>
          <w:rFonts w:ascii="Arial" w:hAnsi="Arial"/>
          <w:sz w:val="24"/>
          <w:szCs w:val="24"/>
        </w:rPr>
        <w:t>,</w:t>
      </w:r>
      <w:r w:rsidR="00043151" w:rsidRPr="007334B2">
        <w:rPr>
          <w:rFonts w:ascii="Arial" w:hAnsi="Arial"/>
          <w:sz w:val="24"/>
          <w:szCs w:val="24"/>
        </w:rPr>
        <w:t xml:space="preserve">36 </w:t>
      </w:r>
      <w:r w:rsidRPr="007334B2">
        <w:rPr>
          <w:rFonts w:ascii="Arial" w:hAnsi="Arial"/>
          <w:sz w:val="24"/>
          <w:szCs w:val="24"/>
        </w:rPr>
        <w:t xml:space="preserve">zł w stosunku do stanu z dnia 31.12.2019 roku i wynosiło 340 423 027,36 zł. </w:t>
      </w:r>
    </w:p>
    <w:p w14:paraId="17C84E3A" w14:textId="7B2A9E54" w:rsidR="008B10D5" w:rsidRPr="007334B2" w:rsidRDefault="008B10D5" w:rsidP="00735A22">
      <w:pPr>
        <w:spacing w:line="360" w:lineRule="auto"/>
        <w:rPr>
          <w:rFonts w:ascii="Arial" w:hAnsi="Arial"/>
          <w:sz w:val="24"/>
          <w:szCs w:val="24"/>
        </w:rPr>
      </w:pPr>
      <w:r w:rsidRPr="007334B2">
        <w:rPr>
          <w:rFonts w:ascii="Arial" w:hAnsi="Arial"/>
          <w:sz w:val="24"/>
          <w:szCs w:val="24"/>
        </w:rPr>
        <w:t>Zobowiązania długoterminowe wynos</w:t>
      </w:r>
      <w:r w:rsidR="002F66D2" w:rsidRPr="007334B2">
        <w:rPr>
          <w:rFonts w:ascii="Arial" w:hAnsi="Arial"/>
          <w:sz w:val="24"/>
          <w:szCs w:val="24"/>
        </w:rPr>
        <w:t>iły</w:t>
      </w:r>
      <w:r w:rsidRPr="007334B2">
        <w:rPr>
          <w:rFonts w:ascii="Arial" w:hAnsi="Arial"/>
          <w:sz w:val="24"/>
          <w:szCs w:val="24"/>
        </w:rPr>
        <w:t xml:space="preserve"> 340 188 621,10 zł, tj. 40,87% wykonanych dochodów</w:t>
      </w:r>
      <w:r w:rsidR="00735A22" w:rsidRPr="007334B2">
        <w:rPr>
          <w:rFonts w:ascii="Arial" w:hAnsi="Arial"/>
          <w:sz w:val="24"/>
          <w:szCs w:val="24"/>
        </w:rPr>
        <w:t xml:space="preserve"> </w:t>
      </w:r>
      <w:r w:rsidRPr="007334B2">
        <w:rPr>
          <w:rFonts w:ascii="Arial" w:hAnsi="Arial"/>
          <w:sz w:val="24"/>
          <w:szCs w:val="24"/>
        </w:rPr>
        <w:t>i dotyczą:</w:t>
      </w:r>
    </w:p>
    <w:p w14:paraId="5ADDAF90" w14:textId="77777777" w:rsidR="00F456F3" w:rsidRPr="007334B2" w:rsidRDefault="008B10D5" w:rsidP="00735A22">
      <w:pPr>
        <w:pStyle w:val="Akapitzlist"/>
        <w:numPr>
          <w:ilvl w:val="0"/>
          <w:numId w:val="24"/>
        </w:numPr>
        <w:spacing w:line="360" w:lineRule="auto"/>
        <w:rPr>
          <w:rFonts w:ascii="Arial" w:hAnsi="Arial"/>
          <w:sz w:val="24"/>
          <w:szCs w:val="24"/>
        </w:rPr>
      </w:pPr>
      <w:r w:rsidRPr="007334B2">
        <w:rPr>
          <w:rFonts w:ascii="Arial" w:hAnsi="Arial"/>
          <w:sz w:val="24"/>
          <w:szCs w:val="24"/>
        </w:rPr>
        <w:t xml:space="preserve">zaciągniętych kredytów i emisji obligacji w wysokości 340 179 064,00 zł. Planowana spłata kredytów i obligacji została w całości uregulowana. Spełnione zostały warunki </w:t>
      </w:r>
      <w:r w:rsidRPr="007334B2">
        <w:rPr>
          <w:rFonts w:ascii="Arial" w:hAnsi="Arial"/>
          <w:sz w:val="24"/>
          <w:szCs w:val="24"/>
        </w:rPr>
        <w:lastRenderedPageBreak/>
        <w:t>wynikające</w:t>
      </w:r>
      <w:r w:rsidR="00735A22" w:rsidRPr="007334B2">
        <w:rPr>
          <w:rFonts w:ascii="Arial" w:hAnsi="Arial"/>
          <w:sz w:val="24"/>
          <w:szCs w:val="24"/>
        </w:rPr>
        <w:t xml:space="preserve"> </w:t>
      </w:r>
      <w:r w:rsidRPr="007334B2">
        <w:rPr>
          <w:rFonts w:ascii="Arial" w:hAnsi="Arial"/>
          <w:sz w:val="24"/>
          <w:szCs w:val="24"/>
        </w:rPr>
        <w:t xml:space="preserve">z art. 243 Ustawy o finansach publicznych – wskazana kwota nie przekraczała indywidulanego wskaźnika spłat zobowiązań, zarówno po uwzględnieniu </w:t>
      </w:r>
      <w:proofErr w:type="spellStart"/>
      <w:r w:rsidRPr="007334B2">
        <w:rPr>
          <w:rFonts w:ascii="Arial" w:hAnsi="Arial"/>
          <w:sz w:val="24"/>
          <w:szCs w:val="24"/>
        </w:rPr>
        <w:t>wyłączeń</w:t>
      </w:r>
      <w:proofErr w:type="spellEnd"/>
      <w:r w:rsidRPr="007334B2">
        <w:rPr>
          <w:rFonts w:ascii="Arial" w:hAnsi="Arial"/>
          <w:sz w:val="24"/>
          <w:szCs w:val="24"/>
        </w:rPr>
        <w:t>, jak i bez ich uwzględnienia</w:t>
      </w:r>
      <w:r w:rsidR="002F66D2" w:rsidRPr="007334B2">
        <w:rPr>
          <w:rFonts w:ascii="Arial" w:hAnsi="Arial"/>
          <w:sz w:val="24"/>
          <w:szCs w:val="24"/>
        </w:rPr>
        <w:t>,</w:t>
      </w:r>
    </w:p>
    <w:p w14:paraId="60A2A71F" w14:textId="7AE268DC" w:rsidR="008B10D5" w:rsidRPr="007334B2" w:rsidRDefault="008B10D5" w:rsidP="00735A22">
      <w:pPr>
        <w:pStyle w:val="Akapitzlist"/>
        <w:numPr>
          <w:ilvl w:val="0"/>
          <w:numId w:val="24"/>
        </w:numPr>
        <w:spacing w:line="360" w:lineRule="auto"/>
        <w:rPr>
          <w:rFonts w:ascii="Arial" w:hAnsi="Arial"/>
          <w:sz w:val="24"/>
          <w:szCs w:val="24"/>
        </w:rPr>
      </w:pPr>
      <w:r w:rsidRPr="007334B2">
        <w:rPr>
          <w:rFonts w:ascii="Arial" w:hAnsi="Arial"/>
          <w:sz w:val="24"/>
          <w:szCs w:val="24"/>
        </w:rPr>
        <w:t>umów ratalnych, zawartych przez samorządową jednostkę budżetową na zakup aparatów ogólnego stosowania w wysokości 9 557,10 zł.</w:t>
      </w:r>
    </w:p>
    <w:p w14:paraId="5AF23F14" w14:textId="6B54760A" w:rsidR="008B10D5" w:rsidRPr="007334B2" w:rsidRDefault="008B10D5" w:rsidP="00735A22">
      <w:pPr>
        <w:spacing w:line="360" w:lineRule="auto"/>
        <w:rPr>
          <w:rFonts w:ascii="Arial" w:hAnsi="Arial"/>
          <w:sz w:val="24"/>
          <w:szCs w:val="24"/>
        </w:rPr>
      </w:pPr>
      <w:r w:rsidRPr="007334B2">
        <w:rPr>
          <w:rFonts w:ascii="Arial" w:hAnsi="Arial"/>
          <w:sz w:val="24"/>
          <w:szCs w:val="24"/>
        </w:rPr>
        <w:t>Pozostała kwota długu w wysokości 234 406,26 zł stanowi</w:t>
      </w:r>
      <w:r w:rsidR="002F66D2" w:rsidRPr="007334B2">
        <w:rPr>
          <w:rFonts w:ascii="Arial" w:hAnsi="Arial"/>
          <w:sz w:val="24"/>
          <w:szCs w:val="24"/>
        </w:rPr>
        <w:t>ła</w:t>
      </w:r>
      <w:r w:rsidRPr="007334B2">
        <w:rPr>
          <w:rFonts w:ascii="Arial" w:hAnsi="Arial"/>
          <w:sz w:val="24"/>
          <w:szCs w:val="24"/>
        </w:rPr>
        <w:t xml:space="preserve"> zobowiązania wymagalne z tytułu sum depozytowych niezwróconych w terminie. Są to zabezpieczenia należytego wykonania umowy, kaucje mieszkaniowe, wadia, pozostałe depozyty. Zobowiązania sum depozytowych</w:t>
      </w:r>
      <w:r w:rsidR="00735A22" w:rsidRPr="007334B2">
        <w:rPr>
          <w:rFonts w:ascii="Arial" w:hAnsi="Arial"/>
          <w:sz w:val="24"/>
          <w:szCs w:val="24"/>
        </w:rPr>
        <w:t xml:space="preserve"> </w:t>
      </w:r>
      <w:r w:rsidRPr="007334B2">
        <w:rPr>
          <w:rFonts w:ascii="Arial" w:hAnsi="Arial"/>
          <w:sz w:val="24"/>
          <w:szCs w:val="24"/>
        </w:rPr>
        <w:t>nie są zobowiązaniami, których źródłem pokrycia są środku budżetowe, stąd nie ujęto</w:t>
      </w:r>
      <w:r w:rsidR="00735A22" w:rsidRPr="007334B2">
        <w:rPr>
          <w:rFonts w:ascii="Arial" w:hAnsi="Arial"/>
          <w:sz w:val="24"/>
          <w:szCs w:val="24"/>
        </w:rPr>
        <w:t xml:space="preserve"> </w:t>
      </w:r>
      <w:r w:rsidRPr="007334B2">
        <w:rPr>
          <w:rFonts w:ascii="Arial" w:hAnsi="Arial"/>
          <w:sz w:val="24"/>
          <w:szCs w:val="24"/>
        </w:rPr>
        <w:t>ich w zobowiązaniach w sprawozdaniu Rb-28S. Wykazano je, w związku ze zmianą rozporządzenia w sprawie sprawozdań jednostek sektora finansów publicznych w zakresie operacji finansowych (Dz. U. z 2021, poz. 2431), w sprawozdaniu Rb-Z, wg stanu na koniec IV kwartału 2021 roku.</w:t>
      </w:r>
      <w:r w:rsidR="00735A22" w:rsidRPr="007334B2">
        <w:rPr>
          <w:rFonts w:ascii="Arial" w:hAnsi="Arial"/>
          <w:sz w:val="24"/>
          <w:szCs w:val="24"/>
        </w:rPr>
        <w:t xml:space="preserve"> </w:t>
      </w:r>
    </w:p>
    <w:p w14:paraId="4A9504D4" w14:textId="77777777" w:rsidR="00EB3EF0" w:rsidRPr="007334B2" w:rsidRDefault="00EB3EF0" w:rsidP="00735A22">
      <w:pPr>
        <w:spacing w:line="360" w:lineRule="auto"/>
        <w:rPr>
          <w:rFonts w:ascii="Arial" w:eastAsia="Arial Unicode MS" w:hAnsi="Arial"/>
          <w:sz w:val="24"/>
          <w:szCs w:val="24"/>
          <w:lang w:eastAsia="zh-CN"/>
        </w:rPr>
      </w:pPr>
    </w:p>
    <w:p w14:paraId="60BCB557" w14:textId="34D0D556" w:rsidR="000C5BAA" w:rsidRPr="007334B2" w:rsidRDefault="000C5BAA" w:rsidP="00735A22">
      <w:pPr>
        <w:spacing w:line="360" w:lineRule="auto"/>
        <w:rPr>
          <w:rFonts w:ascii="Arial" w:eastAsia="Arial Unicode MS" w:hAnsi="Arial"/>
          <w:sz w:val="24"/>
          <w:szCs w:val="24"/>
          <w:lang w:eastAsia="zh-CN"/>
        </w:rPr>
      </w:pPr>
      <w:r w:rsidRPr="007334B2">
        <w:rPr>
          <w:rFonts w:ascii="Arial" w:eastAsia="Arial Unicode MS" w:hAnsi="Arial"/>
          <w:sz w:val="24"/>
          <w:szCs w:val="24"/>
          <w:lang w:eastAsia="zh-CN"/>
        </w:rPr>
        <w:t>Na podstawie sprawozdań Rb-NDS o nadwyżce / deficycie Miasta Włocławek za lata: 2017, 2018, 2019, 2020 oraz 2021, przedstawiono poniższej dane charakteryzujące gospodarkę finansową Miasta Włocławek:</w:t>
      </w:r>
    </w:p>
    <w:p w14:paraId="4285AC50" w14:textId="77777777" w:rsidR="000C5BAA" w:rsidRPr="007334B2" w:rsidRDefault="000C5BAA" w:rsidP="00735A22">
      <w:pPr>
        <w:rPr>
          <w:rFonts w:ascii="Arial" w:eastAsia="SimSun" w:hAnsi="Arial"/>
          <w:color w:val="FF0000"/>
          <w:sz w:val="24"/>
          <w:szCs w:val="24"/>
          <w:lang w:eastAsia="zh-CN"/>
        </w:rPr>
      </w:pPr>
      <w:r w:rsidRPr="007334B2">
        <w:rPr>
          <w:rFonts w:ascii="Arial" w:eastAsia="SimSun" w:hAnsi="Arial"/>
          <w:color w:val="FF0000"/>
          <w:sz w:val="24"/>
          <w:szCs w:val="24"/>
          <w:lang w:eastAsia="zh-CN"/>
        </w:rPr>
        <w:tab/>
      </w:r>
      <w:r w:rsidRPr="007334B2">
        <w:rPr>
          <w:rFonts w:ascii="Arial" w:eastAsia="SimSun" w:hAnsi="Arial"/>
          <w:color w:val="FF0000"/>
          <w:sz w:val="24"/>
          <w:szCs w:val="24"/>
          <w:lang w:eastAsia="zh-CN"/>
        </w:rPr>
        <w:tab/>
      </w:r>
      <w:r w:rsidRPr="007334B2">
        <w:rPr>
          <w:rFonts w:ascii="Arial" w:eastAsia="SimSun" w:hAnsi="Arial"/>
          <w:color w:val="FF0000"/>
          <w:sz w:val="24"/>
          <w:szCs w:val="24"/>
          <w:lang w:eastAsia="zh-CN"/>
        </w:rPr>
        <w:tab/>
      </w:r>
    </w:p>
    <w:tbl>
      <w:tblPr>
        <w:tblStyle w:val="Tabela-Siatka"/>
        <w:tblW w:w="9668" w:type="dxa"/>
        <w:tblLayout w:type="fixed"/>
        <w:tblLook w:val="01E0" w:firstRow="1" w:lastRow="1" w:firstColumn="1" w:lastColumn="1" w:noHBand="0" w:noVBand="0"/>
        <w:tblCaption w:val="Dane charakteryzujące gospodarkę finansową Miasta Włocławek:"/>
        <w:tblDescription w:val="Na podstawie sprawozdań Rb-NDS o nadwyżce / deficycie Miasta Włocławek za lata: 2017, 2018, 2019, 2020 oraz 2021, przedstawiono poniższej dane charakteryzujące gospodarkę finansową Miasta Włocławek:"/>
      </w:tblPr>
      <w:tblGrid>
        <w:gridCol w:w="454"/>
        <w:gridCol w:w="1560"/>
        <w:gridCol w:w="1559"/>
        <w:gridCol w:w="1559"/>
        <w:gridCol w:w="1559"/>
        <w:gridCol w:w="1418"/>
        <w:gridCol w:w="1559"/>
      </w:tblGrid>
      <w:tr w:rsidR="00EB3EF0" w:rsidRPr="007334B2" w14:paraId="02495372" w14:textId="77777777" w:rsidTr="00F456F3">
        <w:tc>
          <w:tcPr>
            <w:tcW w:w="454" w:type="dxa"/>
          </w:tcPr>
          <w:p w14:paraId="1D304D82"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Lp.</w:t>
            </w:r>
          </w:p>
        </w:tc>
        <w:tc>
          <w:tcPr>
            <w:tcW w:w="1560" w:type="dxa"/>
          </w:tcPr>
          <w:p w14:paraId="611A42E6"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Wyszczególnienie</w:t>
            </w:r>
          </w:p>
        </w:tc>
        <w:tc>
          <w:tcPr>
            <w:tcW w:w="1559" w:type="dxa"/>
          </w:tcPr>
          <w:p w14:paraId="4785671E"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Wykonanie 31.12.2017 r.</w:t>
            </w:r>
          </w:p>
        </w:tc>
        <w:tc>
          <w:tcPr>
            <w:tcW w:w="1559" w:type="dxa"/>
          </w:tcPr>
          <w:p w14:paraId="63D1C383"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Wykonanie</w:t>
            </w:r>
          </w:p>
          <w:p w14:paraId="01465BB9"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31.12.2018 r.</w:t>
            </w:r>
          </w:p>
        </w:tc>
        <w:tc>
          <w:tcPr>
            <w:tcW w:w="1559" w:type="dxa"/>
          </w:tcPr>
          <w:p w14:paraId="0339879A"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Wykonanie 31.12.2019 r.</w:t>
            </w:r>
          </w:p>
        </w:tc>
        <w:tc>
          <w:tcPr>
            <w:tcW w:w="1418" w:type="dxa"/>
          </w:tcPr>
          <w:p w14:paraId="5113C5AF"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Wykonanie 31.12.2020 r.</w:t>
            </w:r>
          </w:p>
        </w:tc>
        <w:tc>
          <w:tcPr>
            <w:tcW w:w="1559" w:type="dxa"/>
          </w:tcPr>
          <w:p w14:paraId="7E93AC63"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Wykonanie 31.12.2021 r.</w:t>
            </w:r>
          </w:p>
        </w:tc>
      </w:tr>
      <w:tr w:rsidR="00EB3EF0" w:rsidRPr="007334B2" w14:paraId="723C384E" w14:textId="77777777" w:rsidTr="00F456F3">
        <w:trPr>
          <w:trHeight w:val="212"/>
        </w:trPr>
        <w:tc>
          <w:tcPr>
            <w:tcW w:w="454" w:type="dxa"/>
          </w:tcPr>
          <w:p w14:paraId="5212EB18"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1.</w:t>
            </w:r>
          </w:p>
        </w:tc>
        <w:tc>
          <w:tcPr>
            <w:tcW w:w="1560" w:type="dxa"/>
          </w:tcPr>
          <w:p w14:paraId="3AD1D7C8"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Dochody</w:t>
            </w:r>
          </w:p>
        </w:tc>
        <w:tc>
          <w:tcPr>
            <w:tcW w:w="1559" w:type="dxa"/>
          </w:tcPr>
          <w:p w14:paraId="1F4FD8E4"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620.113.292,89</w:t>
            </w:r>
          </w:p>
        </w:tc>
        <w:tc>
          <w:tcPr>
            <w:tcW w:w="1559" w:type="dxa"/>
          </w:tcPr>
          <w:p w14:paraId="5540765F"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657.445.132,08</w:t>
            </w:r>
          </w:p>
        </w:tc>
        <w:tc>
          <w:tcPr>
            <w:tcW w:w="1559" w:type="dxa"/>
          </w:tcPr>
          <w:p w14:paraId="250A08A9"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717.307.637,17</w:t>
            </w:r>
          </w:p>
        </w:tc>
        <w:tc>
          <w:tcPr>
            <w:tcW w:w="1418" w:type="dxa"/>
          </w:tcPr>
          <w:p w14:paraId="0CFAEF53"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778.183.688,34</w:t>
            </w:r>
          </w:p>
        </w:tc>
        <w:tc>
          <w:tcPr>
            <w:tcW w:w="1559" w:type="dxa"/>
          </w:tcPr>
          <w:p w14:paraId="11BBF1E9"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832.258.815,12</w:t>
            </w:r>
          </w:p>
        </w:tc>
      </w:tr>
      <w:tr w:rsidR="00EB3EF0" w:rsidRPr="007334B2" w14:paraId="7F1287CB" w14:textId="77777777" w:rsidTr="00F456F3">
        <w:tc>
          <w:tcPr>
            <w:tcW w:w="454" w:type="dxa"/>
          </w:tcPr>
          <w:p w14:paraId="0B48FF2D"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2.</w:t>
            </w:r>
          </w:p>
        </w:tc>
        <w:tc>
          <w:tcPr>
            <w:tcW w:w="1560" w:type="dxa"/>
          </w:tcPr>
          <w:p w14:paraId="0A721820"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Wydatki</w:t>
            </w:r>
          </w:p>
        </w:tc>
        <w:tc>
          <w:tcPr>
            <w:tcW w:w="1559" w:type="dxa"/>
          </w:tcPr>
          <w:p w14:paraId="56142EA2"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619.627.263,80</w:t>
            </w:r>
          </w:p>
        </w:tc>
        <w:tc>
          <w:tcPr>
            <w:tcW w:w="1559" w:type="dxa"/>
          </w:tcPr>
          <w:p w14:paraId="5F4DE0BB"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640.030.571,90</w:t>
            </w:r>
          </w:p>
        </w:tc>
        <w:tc>
          <w:tcPr>
            <w:tcW w:w="1559" w:type="dxa"/>
          </w:tcPr>
          <w:p w14:paraId="49B344A5"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735.853.346,27</w:t>
            </w:r>
          </w:p>
        </w:tc>
        <w:tc>
          <w:tcPr>
            <w:tcW w:w="1418" w:type="dxa"/>
          </w:tcPr>
          <w:p w14:paraId="7D5D3831"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782.484.037,87</w:t>
            </w:r>
          </w:p>
        </w:tc>
        <w:tc>
          <w:tcPr>
            <w:tcW w:w="1559" w:type="dxa"/>
          </w:tcPr>
          <w:p w14:paraId="7C41B039"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843.027.541,80</w:t>
            </w:r>
          </w:p>
        </w:tc>
      </w:tr>
      <w:tr w:rsidR="00EB3EF0" w:rsidRPr="007334B2" w14:paraId="06F15B23" w14:textId="77777777" w:rsidTr="00F456F3">
        <w:tc>
          <w:tcPr>
            <w:tcW w:w="454" w:type="dxa"/>
          </w:tcPr>
          <w:p w14:paraId="04F07827"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3.</w:t>
            </w:r>
          </w:p>
        </w:tc>
        <w:tc>
          <w:tcPr>
            <w:tcW w:w="1560" w:type="dxa"/>
          </w:tcPr>
          <w:p w14:paraId="183E17F5"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Wynik finansowy budżetu</w:t>
            </w:r>
          </w:p>
        </w:tc>
        <w:tc>
          <w:tcPr>
            <w:tcW w:w="1559" w:type="dxa"/>
          </w:tcPr>
          <w:p w14:paraId="2129D6CA"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+ 486.029,09</w:t>
            </w:r>
          </w:p>
        </w:tc>
        <w:tc>
          <w:tcPr>
            <w:tcW w:w="1559" w:type="dxa"/>
          </w:tcPr>
          <w:p w14:paraId="5D21D37B"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+ 17.414.560,18</w:t>
            </w:r>
          </w:p>
        </w:tc>
        <w:tc>
          <w:tcPr>
            <w:tcW w:w="1559" w:type="dxa"/>
          </w:tcPr>
          <w:p w14:paraId="75BAF630"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- 18.545.709,10</w:t>
            </w:r>
          </w:p>
        </w:tc>
        <w:tc>
          <w:tcPr>
            <w:tcW w:w="1418" w:type="dxa"/>
          </w:tcPr>
          <w:p w14:paraId="20838DD8"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- 4.300.349,53</w:t>
            </w:r>
          </w:p>
        </w:tc>
        <w:tc>
          <w:tcPr>
            <w:tcW w:w="1559" w:type="dxa"/>
          </w:tcPr>
          <w:p w14:paraId="71E55B6D"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- 10.768.726,68</w:t>
            </w:r>
          </w:p>
        </w:tc>
      </w:tr>
      <w:tr w:rsidR="00EB3EF0" w:rsidRPr="007334B2" w14:paraId="3DE1D57F" w14:textId="77777777" w:rsidTr="00F456F3">
        <w:tc>
          <w:tcPr>
            <w:tcW w:w="454" w:type="dxa"/>
          </w:tcPr>
          <w:p w14:paraId="74420EF9"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4.</w:t>
            </w:r>
          </w:p>
        </w:tc>
        <w:tc>
          <w:tcPr>
            <w:tcW w:w="1560" w:type="dxa"/>
          </w:tcPr>
          <w:p w14:paraId="25456EAE"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Przychody</w:t>
            </w:r>
          </w:p>
        </w:tc>
        <w:tc>
          <w:tcPr>
            <w:tcW w:w="1559" w:type="dxa"/>
          </w:tcPr>
          <w:p w14:paraId="73B3C560"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64.961.918,85</w:t>
            </w:r>
          </w:p>
        </w:tc>
        <w:tc>
          <w:tcPr>
            <w:tcW w:w="1559" w:type="dxa"/>
          </w:tcPr>
          <w:p w14:paraId="52A7EE9B"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61.804.400,36</w:t>
            </w:r>
          </w:p>
        </w:tc>
        <w:tc>
          <w:tcPr>
            <w:tcW w:w="1559" w:type="dxa"/>
          </w:tcPr>
          <w:p w14:paraId="0F799E88" w14:textId="77777777" w:rsidR="000C5BAA" w:rsidRPr="007334B2" w:rsidRDefault="000C5BAA" w:rsidP="00735A22">
            <w:pPr>
              <w:tabs>
                <w:tab w:val="left" w:pos="270"/>
                <w:tab w:val="right" w:pos="1485"/>
              </w:tabs>
              <w:rPr>
                <w:rFonts w:ascii="Arial" w:eastAsia="SimSun" w:hAnsi="Arial"/>
                <w:sz w:val="24"/>
                <w:szCs w:val="24"/>
                <w:lang w:eastAsia="zh-CN"/>
              </w:rPr>
            </w:pPr>
            <w:r w:rsidRPr="007334B2">
              <w:rPr>
                <w:rFonts w:ascii="Arial" w:eastAsia="SimSun" w:hAnsi="Arial"/>
                <w:sz w:val="24"/>
                <w:szCs w:val="24"/>
                <w:lang w:eastAsia="zh-CN"/>
              </w:rPr>
              <w:t>80.243.594,60</w:t>
            </w:r>
          </w:p>
        </w:tc>
        <w:tc>
          <w:tcPr>
            <w:tcW w:w="1418" w:type="dxa"/>
          </w:tcPr>
          <w:p w14:paraId="47C3824D" w14:textId="77777777" w:rsidR="000C5BAA" w:rsidRPr="007334B2" w:rsidRDefault="000C5BAA" w:rsidP="00735A22">
            <w:pPr>
              <w:tabs>
                <w:tab w:val="left" w:pos="270"/>
                <w:tab w:val="right" w:pos="1485"/>
              </w:tabs>
              <w:rPr>
                <w:rFonts w:ascii="Arial" w:eastAsia="SimSun" w:hAnsi="Arial"/>
                <w:sz w:val="24"/>
                <w:szCs w:val="24"/>
                <w:lang w:eastAsia="zh-CN"/>
              </w:rPr>
            </w:pPr>
            <w:r w:rsidRPr="007334B2">
              <w:rPr>
                <w:rFonts w:ascii="Arial" w:eastAsia="SimSun" w:hAnsi="Arial"/>
                <w:sz w:val="24"/>
                <w:szCs w:val="24"/>
                <w:lang w:eastAsia="zh-CN"/>
              </w:rPr>
              <w:t>84.087.638,86</w:t>
            </w:r>
          </w:p>
        </w:tc>
        <w:tc>
          <w:tcPr>
            <w:tcW w:w="1559" w:type="dxa"/>
          </w:tcPr>
          <w:p w14:paraId="326A94F9" w14:textId="77777777" w:rsidR="000C5BAA" w:rsidRPr="007334B2" w:rsidRDefault="000C5BAA" w:rsidP="00735A22">
            <w:pPr>
              <w:tabs>
                <w:tab w:val="left" w:pos="270"/>
                <w:tab w:val="right" w:pos="1485"/>
              </w:tabs>
              <w:rPr>
                <w:rFonts w:ascii="Arial" w:eastAsia="SimSun" w:hAnsi="Arial"/>
                <w:sz w:val="24"/>
                <w:szCs w:val="24"/>
                <w:lang w:eastAsia="zh-CN"/>
              </w:rPr>
            </w:pPr>
            <w:r w:rsidRPr="007334B2">
              <w:rPr>
                <w:rFonts w:ascii="Arial" w:eastAsia="SimSun" w:hAnsi="Arial"/>
                <w:sz w:val="24"/>
                <w:szCs w:val="24"/>
                <w:lang w:eastAsia="zh-CN"/>
              </w:rPr>
              <w:t>134.807.033,33</w:t>
            </w:r>
          </w:p>
        </w:tc>
      </w:tr>
      <w:tr w:rsidR="00EB3EF0" w:rsidRPr="007334B2" w14:paraId="0D217AAA" w14:textId="77777777" w:rsidTr="00F456F3">
        <w:trPr>
          <w:trHeight w:val="70"/>
        </w:trPr>
        <w:tc>
          <w:tcPr>
            <w:tcW w:w="454" w:type="dxa"/>
          </w:tcPr>
          <w:p w14:paraId="1BC83617"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5.</w:t>
            </w:r>
          </w:p>
        </w:tc>
        <w:tc>
          <w:tcPr>
            <w:tcW w:w="1560" w:type="dxa"/>
          </w:tcPr>
          <w:p w14:paraId="6ACFD8BC"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Rozchody</w:t>
            </w:r>
          </w:p>
        </w:tc>
        <w:tc>
          <w:tcPr>
            <w:tcW w:w="1559" w:type="dxa"/>
          </w:tcPr>
          <w:p w14:paraId="42BA8FF8"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36.961.918,85</w:t>
            </w:r>
          </w:p>
        </w:tc>
        <w:tc>
          <w:tcPr>
            <w:tcW w:w="1559" w:type="dxa"/>
          </w:tcPr>
          <w:p w14:paraId="0A31F7B0"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35.028.739,94</w:t>
            </w:r>
          </w:p>
        </w:tc>
        <w:tc>
          <w:tcPr>
            <w:tcW w:w="1559" w:type="dxa"/>
          </w:tcPr>
          <w:p w14:paraId="39F7BF34"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35.494.678,64</w:t>
            </w:r>
          </w:p>
        </w:tc>
        <w:tc>
          <w:tcPr>
            <w:tcW w:w="1418" w:type="dxa"/>
          </w:tcPr>
          <w:p w14:paraId="706F046E"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32.780.256,00</w:t>
            </w:r>
          </w:p>
        </w:tc>
        <w:tc>
          <w:tcPr>
            <w:tcW w:w="1559" w:type="dxa"/>
          </w:tcPr>
          <w:p w14:paraId="6E09E84B"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30.725.000,00</w:t>
            </w:r>
          </w:p>
        </w:tc>
      </w:tr>
      <w:tr w:rsidR="00EB3EF0" w:rsidRPr="007334B2" w14:paraId="618223C8" w14:textId="77777777" w:rsidTr="00F456F3">
        <w:tc>
          <w:tcPr>
            <w:tcW w:w="454" w:type="dxa"/>
          </w:tcPr>
          <w:p w14:paraId="586B7125"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6.</w:t>
            </w:r>
          </w:p>
        </w:tc>
        <w:tc>
          <w:tcPr>
            <w:tcW w:w="1560" w:type="dxa"/>
          </w:tcPr>
          <w:p w14:paraId="2CE08AC9"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Zadłużenie</w:t>
            </w:r>
          </w:p>
        </w:tc>
        <w:tc>
          <w:tcPr>
            <w:tcW w:w="1559" w:type="dxa"/>
          </w:tcPr>
          <w:p w14:paraId="3D38FB8A"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265.694.272,58</w:t>
            </w:r>
          </w:p>
        </w:tc>
        <w:tc>
          <w:tcPr>
            <w:tcW w:w="1559" w:type="dxa"/>
          </w:tcPr>
          <w:p w14:paraId="4E16B1A7"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257.441.192,64</w:t>
            </w:r>
          </w:p>
        </w:tc>
        <w:tc>
          <w:tcPr>
            <w:tcW w:w="1559" w:type="dxa"/>
          </w:tcPr>
          <w:p w14:paraId="57AA294F"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257.999.888,00</w:t>
            </w:r>
          </w:p>
        </w:tc>
        <w:tc>
          <w:tcPr>
            <w:tcW w:w="1418" w:type="dxa"/>
          </w:tcPr>
          <w:p w14:paraId="35FFAD24"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283.104.064,00</w:t>
            </w:r>
          </w:p>
        </w:tc>
        <w:tc>
          <w:tcPr>
            <w:tcW w:w="1559" w:type="dxa"/>
          </w:tcPr>
          <w:p w14:paraId="2CA21812" w14:textId="77777777" w:rsidR="000C5BAA" w:rsidRPr="007334B2" w:rsidRDefault="000C5BAA" w:rsidP="00735A22">
            <w:pPr>
              <w:rPr>
                <w:rFonts w:ascii="Arial" w:eastAsia="SimSun" w:hAnsi="Arial"/>
                <w:sz w:val="24"/>
                <w:szCs w:val="24"/>
                <w:lang w:eastAsia="zh-CN"/>
              </w:rPr>
            </w:pPr>
            <w:r w:rsidRPr="007334B2">
              <w:rPr>
                <w:rFonts w:ascii="Arial" w:eastAsia="SimSun" w:hAnsi="Arial"/>
                <w:sz w:val="24"/>
                <w:szCs w:val="24"/>
                <w:lang w:eastAsia="zh-CN"/>
              </w:rPr>
              <w:t>340.423.027,36</w:t>
            </w:r>
          </w:p>
        </w:tc>
      </w:tr>
    </w:tbl>
    <w:p w14:paraId="1A6AD4E9" w14:textId="77777777" w:rsidR="008B10D5" w:rsidRPr="007334B2" w:rsidRDefault="008B10D5" w:rsidP="00735A22">
      <w:pPr>
        <w:spacing w:line="360" w:lineRule="auto"/>
        <w:rPr>
          <w:rFonts w:ascii="Arial" w:hAnsi="Arial"/>
          <w:sz w:val="24"/>
          <w:szCs w:val="24"/>
        </w:rPr>
      </w:pPr>
    </w:p>
    <w:p w14:paraId="0F769EAD" w14:textId="77777777" w:rsidR="008B10D5" w:rsidRPr="007334B2" w:rsidRDefault="008B10D5" w:rsidP="00735A22">
      <w:pPr>
        <w:pStyle w:val="Nagwek2"/>
        <w:spacing w:line="360" w:lineRule="auto"/>
        <w:rPr>
          <w:rFonts w:ascii="Arial" w:eastAsia="Verdana" w:hAnsi="Arial" w:cs="Arial"/>
          <w:b/>
          <w:bCs/>
          <w:color w:val="auto"/>
          <w:sz w:val="24"/>
          <w:szCs w:val="24"/>
        </w:rPr>
      </w:pPr>
      <w:bookmarkStart w:id="3" w:name="_Toc109792032"/>
      <w:r w:rsidRPr="007334B2">
        <w:rPr>
          <w:rFonts w:ascii="Arial" w:eastAsia="Verdana" w:hAnsi="Arial" w:cs="Arial"/>
          <w:b/>
          <w:bCs/>
          <w:color w:val="auto"/>
          <w:sz w:val="24"/>
          <w:szCs w:val="24"/>
        </w:rPr>
        <w:t>1.2.</w:t>
      </w:r>
      <w:r w:rsidRPr="007334B2">
        <w:rPr>
          <w:rFonts w:ascii="Arial" w:eastAsia="Times New Roman" w:hAnsi="Arial" w:cs="Arial"/>
          <w:b/>
          <w:bCs/>
          <w:color w:val="auto"/>
          <w:sz w:val="24"/>
          <w:szCs w:val="24"/>
        </w:rPr>
        <w:tab/>
      </w:r>
      <w:r w:rsidRPr="007334B2">
        <w:rPr>
          <w:rFonts w:ascii="Arial" w:eastAsia="Verdana" w:hAnsi="Arial" w:cs="Arial"/>
          <w:b/>
          <w:bCs/>
          <w:color w:val="auto"/>
          <w:sz w:val="24"/>
          <w:szCs w:val="24"/>
        </w:rPr>
        <w:t>Koszt obsługi długu w latach 2017-2021</w:t>
      </w:r>
      <w:bookmarkEnd w:id="3"/>
    </w:p>
    <w:p w14:paraId="54B216E2" w14:textId="77777777" w:rsidR="008B10D5" w:rsidRPr="007334B2" w:rsidRDefault="008B10D5" w:rsidP="00735A22">
      <w:pPr>
        <w:spacing w:before="120" w:line="360" w:lineRule="auto"/>
        <w:rPr>
          <w:rFonts w:ascii="Arial" w:hAnsi="Arial"/>
          <w:sz w:val="24"/>
          <w:szCs w:val="24"/>
        </w:rPr>
      </w:pPr>
      <w:r w:rsidRPr="007334B2">
        <w:rPr>
          <w:rFonts w:ascii="Arial" w:hAnsi="Arial"/>
          <w:sz w:val="24"/>
          <w:szCs w:val="24"/>
        </w:rPr>
        <w:t>Koszt obsługi długu jest jednym z najistotniejszych kosztów. Jego minimalizacja stanowi podstawowy cel zarządzania długiem komunalnym.</w:t>
      </w:r>
    </w:p>
    <w:p w14:paraId="4F24B33E" w14:textId="77777777" w:rsidR="008B10D5" w:rsidRPr="007334B2" w:rsidRDefault="008B10D5" w:rsidP="00735A22">
      <w:pPr>
        <w:tabs>
          <w:tab w:val="left" w:pos="2323"/>
        </w:tabs>
        <w:spacing w:line="360" w:lineRule="auto"/>
        <w:rPr>
          <w:rFonts w:ascii="Arial" w:hAnsi="Arial"/>
          <w:sz w:val="24"/>
          <w:szCs w:val="24"/>
        </w:rPr>
      </w:pPr>
      <w:r w:rsidRPr="007334B2">
        <w:rPr>
          <w:rFonts w:ascii="Arial" w:hAnsi="Arial"/>
          <w:sz w:val="24"/>
          <w:szCs w:val="24"/>
        </w:rPr>
        <w:tab/>
      </w:r>
    </w:p>
    <w:p w14:paraId="4DFD34E1" w14:textId="77C33CF4" w:rsidR="008B10D5" w:rsidRPr="007334B2" w:rsidRDefault="008B10D5" w:rsidP="00735A22">
      <w:pPr>
        <w:spacing w:line="360" w:lineRule="auto"/>
        <w:rPr>
          <w:rFonts w:ascii="Arial" w:hAnsi="Arial"/>
          <w:sz w:val="24"/>
          <w:szCs w:val="24"/>
        </w:rPr>
      </w:pPr>
      <w:r w:rsidRPr="007334B2">
        <w:rPr>
          <w:rFonts w:ascii="Arial" w:hAnsi="Arial"/>
          <w:sz w:val="24"/>
          <w:szCs w:val="24"/>
        </w:rPr>
        <w:lastRenderedPageBreak/>
        <w:t>Na dzień 31.12.2017 r. koszt obsługi długu /obsługa papierów wartościowych, kredytów</w:t>
      </w:r>
      <w:r w:rsidR="00735A22" w:rsidRPr="007334B2">
        <w:rPr>
          <w:rFonts w:ascii="Arial" w:hAnsi="Arial"/>
          <w:sz w:val="24"/>
          <w:szCs w:val="24"/>
        </w:rPr>
        <w:t xml:space="preserve"> </w:t>
      </w:r>
      <w:r w:rsidRPr="007334B2">
        <w:rPr>
          <w:rFonts w:ascii="Arial" w:hAnsi="Arial"/>
          <w:sz w:val="24"/>
          <w:szCs w:val="24"/>
        </w:rPr>
        <w:t>i pożyczki /wynosił 9 6</w:t>
      </w:r>
      <w:r w:rsidR="002F66D2" w:rsidRPr="007334B2">
        <w:rPr>
          <w:rFonts w:ascii="Arial" w:hAnsi="Arial"/>
          <w:sz w:val="24"/>
          <w:szCs w:val="24"/>
        </w:rPr>
        <w:t>32</w:t>
      </w:r>
      <w:r w:rsidRPr="007334B2">
        <w:rPr>
          <w:rFonts w:ascii="Arial" w:hAnsi="Arial"/>
          <w:sz w:val="24"/>
          <w:szCs w:val="24"/>
        </w:rPr>
        <w:t> 43</w:t>
      </w:r>
      <w:r w:rsidR="002F66D2" w:rsidRPr="007334B2">
        <w:rPr>
          <w:rFonts w:ascii="Arial" w:hAnsi="Arial"/>
          <w:sz w:val="24"/>
          <w:szCs w:val="24"/>
        </w:rPr>
        <w:t>3</w:t>
      </w:r>
      <w:r w:rsidRPr="007334B2">
        <w:rPr>
          <w:rFonts w:ascii="Arial" w:hAnsi="Arial"/>
          <w:sz w:val="24"/>
          <w:szCs w:val="24"/>
        </w:rPr>
        <w:t>,</w:t>
      </w:r>
      <w:r w:rsidR="002F66D2" w:rsidRPr="007334B2">
        <w:rPr>
          <w:rFonts w:ascii="Arial" w:hAnsi="Arial"/>
          <w:sz w:val="24"/>
          <w:szCs w:val="24"/>
        </w:rPr>
        <w:t>82</w:t>
      </w:r>
      <w:r w:rsidRPr="007334B2">
        <w:rPr>
          <w:rFonts w:ascii="Arial" w:hAnsi="Arial"/>
          <w:sz w:val="24"/>
          <w:szCs w:val="24"/>
        </w:rPr>
        <w:t xml:space="preserve"> zł.</w:t>
      </w:r>
    </w:p>
    <w:p w14:paraId="0A60AABC" w14:textId="37167B62" w:rsidR="002F66D2" w:rsidRPr="007334B2" w:rsidRDefault="002F66D2" w:rsidP="00735A22">
      <w:pPr>
        <w:spacing w:line="360" w:lineRule="auto"/>
        <w:rPr>
          <w:rFonts w:ascii="Arial" w:hAnsi="Arial"/>
          <w:sz w:val="24"/>
          <w:szCs w:val="24"/>
        </w:rPr>
      </w:pPr>
      <w:r w:rsidRPr="007334B2">
        <w:rPr>
          <w:rFonts w:ascii="Arial" w:hAnsi="Arial"/>
          <w:sz w:val="24"/>
          <w:szCs w:val="24"/>
        </w:rPr>
        <w:t xml:space="preserve">Kwota </w:t>
      </w:r>
      <w:r w:rsidR="00EB52C6" w:rsidRPr="007334B2">
        <w:rPr>
          <w:rFonts w:ascii="Arial" w:hAnsi="Arial"/>
          <w:sz w:val="24"/>
          <w:szCs w:val="24"/>
        </w:rPr>
        <w:t>9</w:t>
      </w:r>
      <w:r w:rsidRPr="007334B2">
        <w:rPr>
          <w:rFonts w:ascii="Arial" w:hAnsi="Arial"/>
          <w:sz w:val="24"/>
          <w:szCs w:val="24"/>
        </w:rPr>
        <w:t> </w:t>
      </w:r>
      <w:r w:rsidR="00EB52C6" w:rsidRPr="007334B2">
        <w:rPr>
          <w:rFonts w:ascii="Arial" w:hAnsi="Arial"/>
          <w:sz w:val="24"/>
          <w:szCs w:val="24"/>
        </w:rPr>
        <w:t>632</w:t>
      </w:r>
      <w:r w:rsidRPr="007334B2">
        <w:rPr>
          <w:rFonts w:ascii="Arial" w:hAnsi="Arial"/>
          <w:sz w:val="24"/>
          <w:szCs w:val="24"/>
        </w:rPr>
        <w:t> </w:t>
      </w:r>
      <w:r w:rsidR="00EB52C6" w:rsidRPr="007334B2">
        <w:rPr>
          <w:rFonts w:ascii="Arial" w:hAnsi="Arial"/>
          <w:sz w:val="24"/>
          <w:szCs w:val="24"/>
        </w:rPr>
        <w:t>433</w:t>
      </w:r>
      <w:r w:rsidRPr="007334B2">
        <w:rPr>
          <w:rFonts w:ascii="Arial" w:hAnsi="Arial"/>
          <w:sz w:val="24"/>
          <w:szCs w:val="24"/>
        </w:rPr>
        <w:t>,</w:t>
      </w:r>
      <w:r w:rsidR="00EB52C6" w:rsidRPr="007334B2">
        <w:rPr>
          <w:rFonts w:ascii="Arial" w:hAnsi="Arial"/>
          <w:sz w:val="24"/>
          <w:szCs w:val="24"/>
        </w:rPr>
        <w:t>82 zł</w:t>
      </w:r>
      <w:r w:rsidRPr="007334B2">
        <w:rPr>
          <w:rFonts w:ascii="Arial" w:hAnsi="Arial"/>
          <w:sz w:val="24"/>
          <w:szCs w:val="24"/>
        </w:rPr>
        <w:t xml:space="preserve"> przeznaczona została na</w:t>
      </w:r>
      <w:r w:rsidR="00EB52C6" w:rsidRPr="007334B2">
        <w:rPr>
          <w:rFonts w:ascii="Arial" w:hAnsi="Arial"/>
          <w:sz w:val="24"/>
          <w:szCs w:val="24"/>
        </w:rPr>
        <w:t>:</w:t>
      </w:r>
    </w:p>
    <w:p w14:paraId="30AD38AE" w14:textId="77777777" w:rsidR="00F456F3" w:rsidRPr="007334B2" w:rsidRDefault="002F66D2" w:rsidP="00735A22">
      <w:pPr>
        <w:pStyle w:val="Akapitzlist"/>
        <w:numPr>
          <w:ilvl w:val="0"/>
          <w:numId w:val="25"/>
        </w:numPr>
        <w:spacing w:line="360" w:lineRule="auto"/>
        <w:rPr>
          <w:rFonts w:ascii="Arial" w:hAnsi="Arial"/>
          <w:sz w:val="24"/>
          <w:szCs w:val="24"/>
        </w:rPr>
      </w:pPr>
      <w:r w:rsidRPr="007334B2">
        <w:rPr>
          <w:rFonts w:ascii="Arial" w:hAnsi="Arial"/>
          <w:sz w:val="24"/>
          <w:szCs w:val="24"/>
        </w:rPr>
        <w:t>spłatę odsetek od zaciągniętych kredytów w latach poprzednich oraz odsetek</w:t>
      </w:r>
      <w:r w:rsidR="00735A22" w:rsidRPr="007334B2">
        <w:rPr>
          <w:rFonts w:ascii="Arial" w:hAnsi="Arial"/>
          <w:sz w:val="24"/>
          <w:szCs w:val="24"/>
        </w:rPr>
        <w:t xml:space="preserve"> </w:t>
      </w:r>
      <w:r w:rsidRPr="007334B2">
        <w:rPr>
          <w:rFonts w:ascii="Arial" w:hAnsi="Arial"/>
          <w:sz w:val="24"/>
          <w:szCs w:val="24"/>
        </w:rPr>
        <w:t xml:space="preserve">od wyemitowanych obligacji w kwocie </w:t>
      </w:r>
      <w:r w:rsidR="00EB52C6" w:rsidRPr="007334B2">
        <w:rPr>
          <w:rFonts w:ascii="Arial" w:hAnsi="Arial"/>
          <w:sz w:val="24"/>
          <w:szCs w:val="24"/>
        </w:rPr>
        <w:t>9</w:t>
      </w:r>
      <w:r w:rsidRPr="007334B2">
        <w:rPr>
          <w:rFonts w:ascii="Arial" w:hAnsi="Arial"/>
          <w:sz w:val="24"/>
          <w:szCs w:val="24"/>
        </w:rPr>
        <w:t> </w:t>
      </w:r>
      <w:r w:rsidR="00EB52C6" w:rsidRPr="007334B2">
        <w:rPr>
          <w:rFonts w:ascii="Arial" w:hAnsi="Arial"/>
          <w:sz w:val="24"/>
          <w:szCs w:val="24"/>
        </w:rPr>
        <w:t>590 027,43</w:t>
      </w:r>
      <w:r w:rsidRPr="007334B2">
        <w:rPr>
          <w:rFonts w:ascii="Arial" w:hAnsi="Arial"/>
          <w:sz w:val="24"/>
          <w:szCs w:val="24"/>
        </w:rPr>
        <w:t xml:space="preserve"> zł;</w:t>
      </w:r>
    </w:p>
    <w:p w14:paraId="619C5096" w14:textId="0A606FC9" w:rsidR="002F66D2" w:rsidRPr="007334B2" w:rsidRDefault="002F66D2" w:rsidP="00735A22">
      <w:pPr>
        <w:pStyle w:val="Akapitzlist"/>
        <w:numPr>
          <w:ilvl w:val="0"/>
          <w:numId w:val="25"/>
        </w:numPr>
        <w:spacing w:line="360" w:lineRule="auto"/>
        <w:rPr>
          <w:rFonts w:ascii="Arial" w:hAnsi="Arial"/>
          <w:sz w:val="24"/>
          <w:szCs w:val="24"/>
        </w:rPr>
      </w:pPr>
      <w:r w:rsidRPr="007334B2">
        <w:rPr>
          <w:rFonts w:ascii="Arial" w:hAnsi="Arial"/>
          <w:sz w:val="24"/>
          <w:szCs w:val="24"/>
        </w:rPr>
        <w:t>koszty związane z obsługą obligacji komunalnych na rynku papierów wartościowych w kwocie 4</w:t>
      </w:r>
      <w:r w:rsidR="00EB52C6" w:rsidRPr="007334B2">
        <w:rPr>
          <w:rFonts w:ascii="Arial" w:hAnsi="Arial"/>
          <w:sz w:val="24"/>
          <w:szCs w:val="24"/>
        </w:rPr>
        <w:t>2</w:t>
      </w:r>
      <w:r w:rsidRPr="007334B2">
        <w:rPr>
          <w:rFonts w:ascii="Arial" w:hAnsi="Arial"/>
          <w:sz w:val="24"/>
          <w:szCs w:val="24"/>
        </w:rPr>
        <w:t> 4</w:t>
      </w:r>
      <w:r w:rsidR="00EB52C6" w:rsidRPr="007334B2">
        <w:rPr>
          <w:rFonts w:ascii="Arial" w:hAnsi="Arial"/>
          <w:sz w:val="24"/>
          <w:szCs w:val="24"/>
        </w:rPr>
        <w:t>0</w:t>
      </w:r>
      <w:r w:rsidRPr="007334B2">
        <w:rPr>
          <w:rFonts w:ascii="Arial" w:hAnsi="Arial"/>
          <w:sz w:val="24"/>
          <w:szCs w:val="24"/>
        </w:rPr>
        <w:t>6,</w:t>
      </w:r>
      <w:r w:rsidR="00EB52C6" w:rsidRPr="007334B2">
        <w:rPr>
          <w:rFonts w:ascii="Arial" w:hAnsi="Arial"/>
          <w:sz w:val="24"/>
          <w:szCs w:val="24"/>
        </w:rPr>
        <w:t>39</w:t>
      </w:r>
      <w:r w:rsidRPr="007334B2">
        <w:rPr>
          <w:rFonts w:ascii="Arial" w:hAnsi="Arial"/>
          <w:sz w:val="24"/>
          <w:szCs w:val="24"/>
        </w:rPr>
        <w:t xml:space="preserve"> zł.</w:t>
      </w:r>
    </w:p>
    <w:p w14:paraId="5AF0CA02" w14:textId="77777777" w:rsidR="008B10D5" w:rsidRPr="007334B2" w:rsidRDefault="008B10D5" w:rsidP="00735A22">
      <w:pPr>
        <w:spacing w:line="360" w:lineRule="auto"/>
        <w:rPr>
          <w:rFonts w:ascii="Arial" w:hAnsi="Arial"/>
          <w:sz w:val="24"/>
          <w:szCs w:val="24"/>
        </w:rPr>
      </w:pPr>
    </w:p>
    <w:p w14:paraId="6282862B" w14:textId="646483B0" w:rsidR="008B10D5" w:rsidRPr="007334B2" w:rsidRDefault="008B10D5" w:rsidP="00735A22">
      <w:pPr>
        <w:spacing w:line="360" w:lineRule="auto"/>
        <w:rPr>
          <w:rFonts w:ascii="Arial" w:hAnsi="Arial"/>
          <w:sz w:val="24"/>
          <w:szCs w:val="24"/>
        </w:rPr>
      </w:pPr>
      <w:r w:rsidRPr="007334B2">
        <w:rPr>
          <w:rFonts w:ascii="Arial" w:hAnsi="Arial"/>
          <w:sz w:val="24"/>
          <w:szCs w:val="24"/>
        </w:rPr>
        <w:t>Na dzień 31.12.2018 r. koszt obsługi długu /obsługa papierów wartościowych, kredytów</w:t>
      </w:r>
      <w:r w:rsidR="00735A22" w:rsidRPr="007334B2">
        <w:rPr>
          <w:rFonts w:ascii="Arial" w:hAnsi="Arial"/>
          <w:sz w:val="24"/>
          <w:szCs w:val="24"/>
        </w:rPr>
        <w:t xml:space="preserve"> </w:t>
      </w:r>
      <w:r w:rsidRPr="007334B2">
        <w:rPr>
          <w:rFonts w:ascii="Arial" w:hAnsi="Arial"/>
          <w:sz w:val="24"/>
          <w:szCs w:val="24"/>
        </w:rPr>
        <w:t>i pożyczki/ wynosił 7 844 091,</w:t>
      </w:r>
      <w:r w:rsidR="00EB52C6" w:rsidRPr="007334B2">
        <w:rPr>
          <w:rFonts w:ascii="Arial" w:hAnsi="Arial"/>
          <w:sz w:val="24"/>
          <w:szCs w:val="24"/>
        </w:rPr>
        <w:t>29</w:t>
      </w:r>
      <w:r w:rsidRPr="007334B2">
        <w:rPr>
          <w:rFonts w:ascii="Arial" w:hAnsi="Arial"/>
          <w:sz w:val="24"/>
          <w:szCs w:val="24"/>
        </w:rPr>
        <w:t xml:space="preserve"> zł.</w:t>
      </w:r>
    </w:p>
    <w:p w14:paraId="4461F87C" w14:textId="0917E428" w:rsidR="008B10D5" w:rsidRPr="007334B2" w:rsidRDefault="008B10D5" w:rsidP="00735A22">
      <w:pPr>
        <w:spacing w:line="360" w:lineRule="auto"/>
        <w:rPr>
          <w:rFonts w:ascii="Arial" w:hAnsi="Arial"/>
          <w:sz w:val="24"/>
          <w:szCs w:val="24"/>
        </w:rPr>
      </w:pPr>
      <w:r w:rsidRPr="007334B2">
        <w:rPr>
          <w:rFonts w:ascii="Arial" w:hAnsi="Arial"/>
          <w:sz w:val="24"/>
          <w:szCs w:val="24"/>
        </w:rPr>
        <w:t xml:space="preserve">Kwota 7 844 801,00 </w:t>
      </w:r>
      <w:r w:rsidR="00EB52C6" w:rsidRPr="007334B2">
        <w:rPr>
          <w:rFonts w:ascii="Arial" w:hAnsi="Arial"/>
          <w:sz w:val="24"/>
          <w:szCs w:val="24"/>
        </w:rPr>
        <w:t xml:space="preserve">zł </w:t>
      </w:r>
      <w:r w:rsidRPr="007334B2">
        <w:rPr>
          <w:rFonts w:ascii="Arial" w:hAnsi="Arial"/>
          <w:sz w:val="24"/>
          <w:szCs w:val="24"/>
        </w:rPr>
        <w:t>przeznaczona została na:</w:t>
      </w:r>
    </w:p>
    <w:p w14:paraId="4316FC74" w14:textId="77777777" w:rsidR="00F456F3" w:rsidRPr="007334B2" w:rsidRDefault="008B10D5" w:rsidP="00735A22">
      <w:pPr>
        <w:pStyle w:val="Akapitzlist"/>
        <w:numPr>
          <w:ilvl w:val="0"/>
          <w:numId w:val="26"/>
        </w:numPr>
        <w:spacing w:line="360" w:lineRule="auto"/>
        <w:rPr>
          <w:rFonts w:ascii="Arial" w:hAnsi="Arial"/>
          <w:sz w:val="24"/>
          <w:szCs w:val="24"/>
        </w:rPr>
      </w:pPr>
      <w:r w:rsidRPr="007334B2">
        <w:rPr>
          <w:rFonts w:ascii="Arial" w:hAnsi="Arial"/>
          <w:sz w:val="24"/>
          <w:szCs w:val="24"/>
        </w:rPr>
        <w:t>spłatę odsetek od zaciągniętych kredytów w latach poprzednich oraz odsetek</w:t>
      </w:r>
      <w:r w:rsidR="00735A22" w:rsidRPr="007334B2">
        <w:rPr>
          <w:rFonts w:ascii="Arial" w:hAnsi="Arial"/>
          <w:sz w:val="24"/>
          <w:szCs w:val="24"/>
        </w:rPr>
        <w:t xml:space="preserve"> </w:t>
      </w:r>
      <w:r w:rsidRPr="007334B2">
        <w:rPr>
          <w:rFonts w:ascii="Arial" w:hAnsi="Arial"/>
          <w:sz w:val="24"/>
          <w:szCs w:val="24"/>
        </w:rPr>
        <w:t>od wyemitowanych obligacji w kwocie 7 80</w:t>
      </w:r>
      <w:r w:rsidR="00EB52C6" w:rsidRPr="007334B2">
        <w:rPr>
          <w:rFonts w:ascii="Arial" w:hAnsi="Arial"/>
          <w:sz w:val="24"/>
          <w:szCs w:val="24"/>
        </w:rPr>
        <w:t>3</w:t>
      </w:r>
      <w:r w:rsidRPr="007334B2">
        <w:rPr>
          <w:rFonts w:ascii="Arial" w:hAnsi="Arial"/>
          <w:sz w:val="24"/>
          <w:szCs w:val="24"/>
        </w:rPr>
        <w:t> </w:t>
      </w:r>
      <w:r w:rsidR="00EB52C6" w:rsidRPr="007334B2">
        <w:rPr>
          <w:rFonts w:ascii="Arial" w:hAnsi="Arial"/>
          <w:sz w:val="24"/>
          <w:szCs w:val="24"/>
        </w:rPr>
        <w:t>675</w:t>
      </w:r>
      <w:r w:rsidRPr="007334B2">
        <w:rPr>
          <w:rFonts w:ascii="Arial" w:hAnsi="Arial"/>
          <w:sz w:val="24"/>
          <w:szCs w:val="24"/>
        </w:rPr>
        <w:t>,</w:t>
      </w:r>
      <w:r w:rsidR="00EB52C6" w:rsidRPr="007334B2">
        <w:rPr>
          <w:rFonts w:ascii="Arial" w:hAnsi="Arial"/>
          <w:sz w:val="24"/>
          <w:szCs w:val="24"/>
        </w:rPr>
        <w:t>55</w:t>
      </w:r>
      <w:r w:rsidRPr="007334B2">
        <w:rPr>
          <w:rFonts w:ascii="Arial" w:hAnsi="Arial"/>
          <w:sz w:val="24"/>
          <w:szCs w:val="24"/>
        </w:rPr>
        <w:t xml:space="preserve"> zł;</w:t>
      </w:r>
    </w:p>
    <w:p w14:paraId="2F6427F2" w14:textId="68BA0321" w:rsidR="008B10D5" w:rsidRPr="007334B2" w:rsidRDefault="008B10D5" w:rsidP="00735A22">
      <w:pPr>
        <w:pStyle w:val="Akapitzlist"/>
        <w:numPr>
          <w:ilvl w:val="0"/>
          <w:numId w:val="26"/>
        </w:numPr>
        <w:spacing w:line="360" w:lineRule="auto"/>
        <w:rPr>
          <w:rFonts w:ascii="Arial" w:hAnsi="Arial"/>
          <w:sz w:val="24"/>
          <w:szCs w:val="24"/>
        </w:rPr>
      </w:pPr>
      <w:r w:rsidRPr="007334B2">
        <w:rPr>
          <w:rFonts w:ascii="Arial" w:hAnsi="Arial"/>
          <w:sz w:val="24"/>
          <w:szCs w:val="24"/>
        </w:rPr>
        <w:t>koszty związane z obsługą obligacji komunalnych na rynku papierów wartościowych w kwocie 40 41</w:t>
      </w:r>
      <w:r w:rsidR="00EB52C6" w:rsidRPr="007334B2">
        <w:rPr>
          <w:rFonts w:ascii="Arial" w:hAnsi="Arial"/>
          <w:sz w:val="24"/>
          <w:szCs w:val="24"/>
        </w:rPr>
        <w:t>5</w:t>
      </w:r>
      <w:r w:rsidRPr="007334B2">
        <w:rPr>
          <w:rFonts w:ascii="Arial" w:hAnsi="Arial"/>
          <w:sz w:val="24"/>
          <w:szCs w:val="24"/>
        </w:rPr>
        <w:t>,</w:t>
      </w:r>
      <w:r w:rsidR="00EB52C6" w:rsidRPr="007334B2">
        <w:rPr>
          <w:rFonts w:ascii="Arial" w:hAnsi="Arial"/>
          <w:sz w:val="24"/>
          <w:szCs w:val="24"/>
        </w:rPr>
        <w:t>74</w:t>
      </w:r>
      <w:r w:rsidRPr="007334B2">
        <w:rPr>
          <w:rFonts w:ascii="Arial" w:hAnsi="Arial"/>
          <w:sz w:val="24"/>
          <w:szCs w:val="24"/>
        </w:rPr>
        <w:t xml:space="preserve"> zł.</w:t>
      </w:r>
    </w:p>
    <w:p w14:paraId="305D3845" w14:textId="77777777" w:rsidR="008B10D5" w:rsidRPr="007334B2" w:rsidRDefault="008B10D5" w:rsidP="00735A22">
      <w:pPr>
        <w:spacing w:line="360" w:lineRule="auto"/>
        <w:rPr>
          <w:rFonts w:ascii="Arial" w:hAnsi="Arial"/>
          <w:sz w:val="24"/>
          <w:szCs w:val="24"/>
        </w:rPr>
      </w:pPr>
    </w:p>
    <w:p w14:paraId="0344823E" w14:textId="68D5F125" w:rsidR="008B10D5" w:rsidRPr="007334B2" w:rsidRDefault="008B10D5" w:rsidP="00735A22">
      <w:pPr>
        <w:spacing w:line="360" w:lineRule="auto"/>
        <w:rPr>
          <w:rFonts w:ascii="Arial" w:hAnsi="Arial"/>
          <w:sz w:val="24"/>
          <w:szCs w:val="24"/>
        </w:rPr>
      </w:pPr>
      <w:r w:rsidRPr="007334B2">
        <w:rPr>
          <w:rFonts w:ascii="Arial" w:hAnsi="Arial"/>
          <w:sz w:val="24"/>
          <w:szCs w:val="24"/>
        </w:rPr>
        <w:t>Na dzień 31.12.2019 r. koszt obsługi długu /obsługa papierów wartościowych, kredytów</w:t>
      </w:r>
      <w:r w:rsidR="00735A22" w:rsidRPr="007334B2">
        <w:rPr>
          <w:rFonts w:ascii="Arial" w:hAnsi="Arial"/>
          <w:sz w:val="24"/>
          <w:szCs w:val="24"/>
        </w:rPr>
        <w:t xml:space="preserve"> </w:t>
      </w:r>
      <w:r w:rsidRPr="007334B2">
        <w:rPr>
          <w:rFonts w:ascii="Arial" w:hAnsi="Arial"/>
          <w:sz w:val="24"/>
          <w:szCs w:val="24"/>
        </w:rPr>
        <w:t>i pożyczki/ wynosił 9 466 306,</w:t>
      </w:r>
      <w:r w:rsidR="00EB52C6" w:rsidRPr="007334B2">
        <w:rPr>
          <w:rFonts w:ascii="Arial" w:hAnsi="Arial"/>
          <w:sz w:val="24"/>
          <w:szCs w:val="24"/>
        </w:rPr>
        <w:t>29</w:t>
      </w:r>
      <w:r w:rsidRPr="007334B2">
        <w:rPr>
          <w:rFonts w:ascii="Arial" w:hAnsi="Arial"/>
          <w:sz w:val="24"/>
          <w:szCs w:val="24"/>
        </w:rPr>
        <w:t xml:space="preserve"> zł.</w:t>
      </w:r>
    </w:p>
    <w:p w14:paraId="76452976" w14:textId="33032305" w:rsidR="008B10D5" w:rsidRPr="007334B2" w:rsidRDefault="008B10D5" w:rsidP="00735A22">
      <w:pPr>
        <w:spacing w:line="360" w:lineRule="auto"/>
        <w:rPr>
          <w:rFonts w:ascii="Arial" w:hAnsi="Arial"/>
          <w:sz w:val="24"/>
          <w:szCs w:val="24"/>
        </w:rPr>
      </w:pPr>
      <w:r w:rsidRPr="007334B2">
        <w:rPr>
          <w:rFonts w:ascii="Arial" w:hAnsi="Arial"/>
          <w:sz w:val="24"/>
          <w:szCs w:val="24"/>
        </w:rPr>
        <w:t>Kwota 9 466 306,</w:t>
      </w:r>
      <w:r w:rsidR="00EB52C6" w:rsidRPr="007334B2">
        <w:rPr>
          <w:rFonts w:ascii="Arial" w:hAnsi="Arial"/>
          <w:sz w:val="24"/>
          <w:szCs w:val="24"/>
        </w:rPr>
        <w:t>29 zł</w:t>
      </w:r>
      <w:r w:rsidRPr="007334B2">
        <w:rPr>
          <w:rFonts w:ascii="Arial" w:hAnsi="Arial"/>
          <w:sz w:val="24"/>
          <w:szCs w:val="24"/>
        </w:rPr>
        <w:t xml:space="preserve"> przeznaczona została na:</w:t>
      </w:r>
    </w:p>
    <w:p w14:paraId="7AB6254E" w14:textId="77777777" w:rsidR="00F456F3" w:rsidRPr="007334B2" w:rsidRDefault="008B10D5" w:rsidP="00735A22">
      <w:pPr>
        <w:pStyle w:val="Akapitzlist"/>
        <w:numPr>
          <w:ilvl w:val="0"/>
          <w:numId w:val="27"/>
        </w:numPr>
        <w:spacing w:line="360" w:lineRule="auto"/>
        <w:rPr>
          <w:rFonts w:ascii="Arial" w:hAnsi="Arial"/>
          <w:sz w:val="24"/>
          <w:szCs w:val="24"/>
        </w:rPr>
      </w:pPr>
      <w:r w:rsidRPr="007334B2">
        <w:rPr>
          <w:rFonts w:ascii="Arial" w:hAnsi="Arial"/>
          <w:sz w:val="24"/>
          <w:szCs w:val="24"/>
        </w:rPr>
        <w:t>spłatę odsetek od zaciągniętych kredytów w latach poprzednich oraz odsetek</w:t>
      </w:r>
      <w:r w:rsidR="00735A22" w:rsidRPr="007334B2">
        <w:rPr>
          <w:rFonts w:ascii="Arial" w:hAnsi="Arial"/>
          <w:sz w:val="24"/>
          <w:szCs w:val="24"/>
        </w:rPr>
        <w:t xml:space="preserve"> </w:t>
      </w:r>
      <w:r w:rsidRPr="007334B2">
        <w:rPr>
          <w:rFonts w:ascii="Arial" w:hAnsi="Arial"/>
          <w:sz w:val="24"/>
          <w:szCs w:val="24"/>
        </w:rPr>
        <w:t>od wyemitowanych obligacji w kwocie 9 429 770,</w:t>
      </w:r>
      <w:r w:rsidR="00A729F8" w:rsidRPr="007334B2">
        <w:rPr>
          <w:rFonts w:ascii="Arial" w:hAnsi="Arial"/>
          <w:sz w:val="24"/>
          <w:szCs w:val="24"/>
        </w:rPr>
        <w:t>5</w:t>
      </w:r>
      <w:r w:rsidRPr="007334B2">
        <w:rPr>
          <w:rFonts w:ascii="Arial" w:hAnsi="Arial"/>
          <w:sz w:val="24"/>
          <w:szCs w:val="24"/>
        </w:rPr>
        <w:t>0 zł;</w:t>
      </w:r>
    </w:p>
    <w:p w14:paraId="03295D2B" w14:textId="01CEEF12" w:rsidR="008B10D5" w:rsidRPr="007334B2" w:rsidRDefault="008B10D5" w:rsidP="00735A22">
      <w:pPr>
        <w:pStyle w:val="Akapitzlist"/>
        <w:numPr>
          <w:ilvl w:val="0"/>
          <w:numId w:val="27"/>
        </w:numPr>
        <w:spacing w:line="360" w:lineRule="auto"/>
        <w:rPr>
          <w:rFonts w:ascii="Arial" w:hAnsi="Arial"/>
          <w:sz w:val="24"/>
          <w:szCs w:val="24"/>
        </w:rPr>
      </w:pPr>
      <w:r w:rsidRPr="007334B2">
        <w:rPr>
          <w:rFonts w:ascii="Arial" w:hAnsi="Arial"/>
          <w:sz w:val="24"/>
          <w:szCs w:val="24"/>
        </w:rPr>
        <w:t>koszty związane z obsługą obligacji komunalnych na rynku papierów wartościowych w kwocie</w:t>
      </w:r>
      <w:r w:rsidR="00735A22" w:rsidRPr="007334B2">
        <w:rPr>
          <w:rFonts w:ascii="Arial" w:hAnsi="Arial"/>
          <w:sz w:val="24"/>
          <w:szCs w:val="24"/>
        </w:rPr>
        <w:t xml:space="preserve"> </w:t>
      </w:r>
      <w:r w:rsidRPr="007334B2">
        <w:rPr>
          <w:rFonts w:ascii="Arial" w:hAnsi="Arial"/>
          <w:sz w:val="24"/>
          <w:szCs w:val="24"/>
        </w:rPr>
        <w:t>36 53</w:t>
      </w:r>
      <w:r w:rsidR="00A729F8" w:rsidRPr="007334B2">
        <w:rPr>
          <w:rFonts w:ascii="Arial" w:hAnsi="Arial"/>
          <w:sz w:val="24"/>
          <w:szCs w:val="24"/>
        </w:rPr>
        <w:t>5</w:t>
      </w:r>
      <w:r w:rsidRPr="007334B2">
        <w:rPr>
          <w:rFonts w:ascii="Arial" w:hAnsi="Arial"/>
          <w:sz w:val="24"/>
          <w:szCs w:val="24"/>
        </w:rPr>
        <w:t>,</w:t>
      </w:r>
      <w:r w:rsidR="00A729F8" w:rsidRPr="007334B2">
        <w:rPr>
          <w:rFonts w:ascii="Arial" w:hAnsi="Arial"/>
          <w:sz w:val="24"/>
          <w:szCs w:val="24"/>
        </w:rPr>
        <w:t>79</w:t>
      </w:r>
      <w:r w:rsidRPr="007334B2">
        <w:rPr>
          <w:rFonts w:ascii="Arial" w:hAnsi="Arial"/>
          <w:sz w:val="24"/>
          <w:szCs w:val="24"/>
        </w:rPr>
        <w:t xml:space="preserve"> zł.</w:t>
      </w:r>
    </w:p>
    <w:p w14:paraId="64E7E46E" w14:textId="77777777" w:rsidR="008B10D5" w:rsidRPr="007334B2" w:rsidRDefault="008B10D5" w:rsidP="00735A22">
      <w:pPr>
        <w:spacing w:line="360" w:lineRule="auto"/>
        <w:rPr>
          <w:rFonts w:ascii="Arial" w:hAnsi="Arial"/>
          <w:sz w:val="24"/>
          <w:szCs w:val="24"/>
        </w:rPr>
      </w:pPr>
    </w:p>
    <w:p w14:paraId="2F333771" w14:textId="6EB5BE42" w:rsidR="008B10D5" w:rsidRPr="007334B2" w:rsidRDefault="008B10D5" w:rsidP="00735A22">
      <w:pPr>
        <w:spacing w:line="360" w:lineRule="auto"/>
        <w:rPr>
          <w:rFonts w:ascii="Arial" w:hAnsi="Arial"/>
          <w:sz w:val="24"/>
          <w:szCs w:val="24"/>
        </w:rPr>
      </w:pPr>
      <w:r w:rsidRPr="007334B2">
        <w:rPr>
          <w:rFonts w:ascii="Arial" w:hAnsi="Arial"/>
          <w:sz w:val="24"/>
          <w:szCs w:val="24"/>
        </w:rPr>
        <w:t>Na dzień 31.12.2020 r. koszt obsługi długu /obsługa papierów wartościowych, kredytów</w:t>
      </w:r>
      <w:r w:rsidR="00735A22" w:rsidRPr="007334B2">
        <w:rPr>
          <w:rFonts w:ascii="Arial" w:hAnsi="Arial"/>
          <w:sz w:val="24"/>
          <w:szCs w:val="24"/>
        </w:rPr>
        <w:t xml:space="preserve"> </w:t>
      </w:r>
      <w:r w:rsidRPr="007334B2">
        <w:rPr>
          <w:rFonts w:ascii="Arial" w:hAnsi="Arial"/>
          <w:sz w:val="24"/>
          <w:szCs w:val="24"/>
        </w:rPr>
        <w:t>i pożyczki/ wynosił 7 473 346,76 zł.</w:t>
      </w:r>
    </w:p>
    <w:p w14:paraId="5AE2AE9C" w14:textId="77777777" w:rsidR="008B10D5" w:rsidRPr="007334B2" w:rsidRDefault="008B10D5" w:rsidP="00735A22">
      <w:pPr>
        <w:spacing w:line="360" w:lineRule="auto"/>
        <w:rPr>
          <w:rFonts w:ascii="Arial" w:hAnsi="Arial"/>
          <w:sz w:val="24"/>
          <w:szCs w:val="24"/>
        </w:rPr>
      </w:pPr>
      <w:r w:rsidRPr="007334B2">
        <w:rPr>
          <w:rFonts w:ascii="Arial" w:hAnsi="Arial"/>
          <w:sz w:val="24"/>
          <w:szCs w:val="24"/>
        </w:rPr>
        <w:t>Kwota 7 473 346,76 zł przeznaczona została na:</w:t>
      </w:r>
    </w:p>
    <w:p w14:paraId="1BDD441C" w14:textId="77777777" w:rsidR="00F456F3" w:rsidRPr="007334B2" w:rsidRDefault="008B10D5" w:rsidP="00735A22">
      <w:pPr>
        <w:pStyle w:val="Akapitzlist"/>
        <w:numPr>
          <w:ilvl w:val="0"/>
          <w:numId w:val="28"/>
        </w:numPr>
        <w:spacing w:line="360" w:lineRule="auto"/>
        <w:rPr>
          <w:rFonts w:ascii="Arial" w:hAnsi="Arial"/>
          <w:sz w:val="24"/>
          <w:szCs w:val="24"/>
        </w:rPr>
      </w:pPr>
      <w:r w:rsidRPr="007334B2">
        <w:rPr>
          <w:rFonts w:ascii="Arial" w:hAnsi="Arial"/>
          <w:sz w:val="24"/>
          <w:szCs w:val="24"/>
        </w:rPr>
        <w:t>spłatę odsetek od zaciągniętych kredytów w latach poprzednich oraz odsetek od wyemitowanych obligacji w kwocie 7 420 867,74 zł;</w:t>
      </w:r>
    </w:p>
    <w:p w14:paraId="617E35F0" w14:textId="767FB204" w:rsidR="008B10D5" w:rsidRPr="007334B2" w:rsidRDefault="008B10D5" w:rsidP="00735A22">
      <w:pPr>
        <w:pStyle w:val="Akapitzlist"/>
        <w:numPr>
          <w:ilvl w:val="0"/>
          <w:numId w:val="28"/>
        </w:numPr>
        <w:spacing w:line="360" w:lineRule="auto"/>
        <w:rPr>
          <w:rFonts w:ascii="Arial" w:hAnsi="Arial"/>
          <w:sz w:val="24"/>
          <w:szCs w:val="24"/>
        </w:rPr>
      </w:pPr>
      <w:r w:rsidRPr="007334B2">
        <w:rPr>
          <w:rFonts w:ascii="Arial" w:hAnsi="Arial"/>
          <w:sz w:val="24"/>
          <w:szCs w:val="24"/>
        </w:rPr>
        <w:t>koszty związane z obsługą obligacji komunalnych na rynku papierów wartościowych w kwocie</w:t>
      </w:r>
      <w:r w:rsidR="00735A22" w:rsidRPr="007334B2">
        <w:rPr>
          <w:rFonts w:ascii="Arial" w:hAnsi="Arial"/>
          <w:sz w:val="24"/>
          <w:szCs w:val="24"/>
        </w:rPr>
        <w:t xml:space="preserve"> </w:t>
      </w:r>
      <w:r w:rsidRPr="007334B2">
        <w:rPr>
          <w:rFonts w:ascii="Arial" w:hAnsi="Arial"/>
          <w:sz w:val="24"/>
          <w:szCs w:val="24"/>
        </w:rPr>
        <w:t>52 479,02 zł.</w:t>
      </w:r>
    </w:p>
    <w:p w14:paraId="41E83578" w14:textId="77777777" w:rsidR="008B10D5" w:rsidRPr="007334B2" w:rsidRDefault="008B10D5" w:rsidP="00735A22">
      <w:pPr>
        <w:spacing w:line="360" w:lineRule="auto"/>
        <w:rPr>
          <w:rFonts w:ascii="Arial" w:hAnsi="Arial"/>
          <w:sz w:val="24"/>
          <w:szCs w:val="24"/>
        </w:rPr>
      </w:pPr>
    </w:p>
    <w:p w14:paraId="04580B0C" w14:textId="51D05C26" w:rsidR="008B10D5" w:rsidRPr="007334B2" w:rsidRDefault="008B10D5" w:rsidP="00735A22">
      <w:pPr>
        <w:spacing w:line="360" w:lineRule="auto"/>
        <w:rPr>
          <w:rFonts w:ascii="Arial" w:hAnsi="Arial"/>
          <w:sz w:val="24"/>
          <w:szCs w:val="24"/>
        </w:rPr>
      </w:pPr>
      <w:r w:rsidRPr="007334B2">
        <w:rPr>
          <w:rFonts w:ascii="Arial" w:hAnsi="Arial"/>
          <w:sz w:val="24"/>
          <w:szCs w:val="24"/>
        </w:rPr>
        <w:lastRenderedPageBreak/>
        <w:t>Na dzień 31.12.2021 r. koszt obsługi długu /obsługa papierów wartościowych, kredytów</w:t>
      </w:r>
      <w:r w:rsidR="00735A22" w:rsidRPr="007334B2">
        <w:rPr>
          <w:rFonts w:ascii="Arial" w:hAnsi="Arial"/>
          <w:sz w:val="24"/>
          <w:szCs w:val="24"/>
        </w:rPr>
        <w:t xml:space="preserve"> </w:t>
      </w:r>
      <w:r w:rsidRPr="007334B2">
        <w:rPr>
          <w:rFonts w:ascii="Arial" w:hAnsi="Arial"/>
          <w:sz w:val="24"/>
          <w:szCs w:val="24"/>
        </w:rPr>
        <w:t>i pożyczki/ wynosił 5 390 601,77 zł.</w:t>
      </w:r>
    </w:p>
    <w:p w14:paraId="40AC85A7" w14:textId="77777777" w:rsidR="008B10D5" w:rsidRPr="007334B2" w:rsidRDefault="008B10D5" w:rsidP="00735A22">
      <w:pPr>
        <w:spacing w:line="360" w:lineRule="auto"/>
        <w:rPr>
          <w:rFonts w:ascii="Arial" w:hAnsi="Arial"/>
          <w:sz w:val="24"/>
          <w:szCs w:val="24"/>
        </w:rPr>
      </w:pPr>
      <w:r w:rsidRPr="007334B2">
        <w:rPr>
          <w:rFonts w:ascii="Arial" w:hAnsi="Arial"/>
          <w:sz w:val="24"/>
          <w:szCs w:val="24"/>
        </w:rPr>
        <w:t>Kwota 5 390 601,77 zł przeznaczona została na:</w:t>
      </w:r>
    </w:p>
    <w:p w14:paraId="24491DFC" w14:textId="77777777" w:rsidR="00F456F3" w:rsidRPr="007334B2" w:rsidRDefault="008B10D5" w:rsidP="00735A22">
      <w:pPr>
        <w:pStyle w:val="Akapitzlist"/>
        <w:numPr>
          <w:ilvl w:val="0"/>
          <w:numId w:val="29"/>
        </w:numPr>
        <w:spacing w:line="360" w:lineRule="auto"/>
        <w:rPr>
          <w:rFonts w:ascii="Arial" w:hAnsi="Arial"/>
          <w:sz w:val="24"/>
          <w:szCs w:val="24"/>
        </w:rPr>
      </w:pPr>
      <w:r w:rsidRPr="007334B2">
        <w:rPr>
          <w:rFonts w:ascii="Arial" w:hAnsi="Arial"/>
          <w:sz w:val="24"/>
          <w:szCs w:val="24"/>
        </w:rPr>
        <w:t>spłatę odsetek od zaciągniętych kredytów w latach poprzednich oraz odsetek</w:t>
      </w:r>
      <w:r w:rsidR="00735A22" w:rsidRPr="007334B2">
        <w:rPr>
          <w:rFonts w:ascii="Arial" w:hAnsi="Arial"/>
          <w:sz w:val="24"/>
          <w:szCs w:val="24"/>
        </w:rPr>
        <w:t xml:space="preserve"> </w:t>
      </w:r>
      <w:r w:rsidRPr="007334B2">
        <w:rPr>
          <w:rFonts w:ascii="Arial" w:hAnsi="Arial"/>
          <w:sz w:val="24"/>
          <w:szCs w:val="24"/>
        </w:rPr>
        <w:t>od wyemitowanych obligacji w kwocie 5 342 516,50 zł;</w:t>
      </w:r>
    </w:p>
    <w:p w14:paraId="5ED82E45" w14:textId="77777777" w:rsidR="00F456F3" w:rsidRPr="007334B2" w:rsidRDefault="008B10D5" w:rsidP="00735A22">
      <w:pPr>
        <w:pStyle w:val="Akapitzlist"/>
        <w:numPr>
          <w:ilvl w:val="0"/>
          <w:numId w:val="29"/>
        </w:numPr>
        <w:spacing w:line="360" w:lineRule="auto"/>
        <w:rPr>
          <w:rFonts w:ascii="Arial" w:hAnsi="Arial"/>
          <w:sz w:val="24"/>
          <w:szCs w:val="24"/>
        </w:rPr>
      </w:pPr>
      <w:r w:rsidRPr="007334B2">
        <w:rPr>
          <w:rFonts w:ascii="Arial" w:hAnsi="Arial"/>
          <w:sz w:val="24"/>
          <w:szCs w:val="24"/>
        </w:rPr>
        <w:t>koszty związane z obsługą obligacji komunalnych na rynku papierów wartościowych w kwocie</w:t>
      </w:r>
      <w:r w:rsidR="00735A22" w:rsidRPr="007334B2">
        <w:rPr>
          <w:rFonts w:ascii="Arial" w:hAnsi="Arial"/>
          <w:sz w:val="24"/>
          <w:szCs w:val="24"/>
        </w:rPr>
        <w:t xml:space="preserve"> </w:t>
      </w:r>
      <w:r w:rsidRPr="007334B2">
        <w:rPr>
          <w:rFonts w:ascii="Arial" w:hAnsi="Arial"/>
          <w:sz w:val="24"/>
          <w:szCs w:val="24"/>
        </w:rPr>
        <w:t>27 282,13 zł;</w:t>
      </w:r>
    </w:p>
    <w:p w14:paraId="1B25683C" w14:textId="2BC5D063" w:rsidR="008B10D5" w:rsidRPr="007334B2" w:rsidRDefault="008B10D5" w:rsidP="00735A22">
      <w:pPr>
        <w:pStyle w:val="Akapitzlist"/>
        <w:numPr>
          <w:ilvl w:val="0"/>
          <w:numId w:val="29"/>
        </w:numPr>
        <w:spacing w:line="360" w:lineRule="auto"/>
        <w:rPr>
          <w:rFonts w:ascii="Arial" w:hAnsi="Arial"/>
          <w:sz w:val="24"/>
          <w:szCs w:val="24"/>
        </w:rPr>
      </w:pPr>
      <w:r w:rsidRPr="007334B2">
        <w:rPr>
          <w:rFonts w:ascii="Arial" w:hAnsi="Arial"/>
          <w:sz w:val="24"/>
          <w:szCs w:val="24"/>
        </w:rPr>
        <w:t>spłatę zadłużenia, w związku z przejęciem spadku z dobrodziejstwem inwentarza po zmarłych mieszkańcach miasta – 20 803,14 zł.</w:t>
      </w:r>
      <w:r w:rsidRPr="007334B2">
        <w:rPr>
          <w:rFonts w:ascii="Arial" w:hAnsi="Arial"/>
          <w:sz w:val="24"/>
          <w:szCs w:val="24"/>
        </w:rPr>
        <w:tab/>
      </w:r>
    </w:p>
    <w:p w14:paraId="051C8411" w14:textId="77777777" w:rsidR="008B10D5" w:rsidRPr="007334B2" w:rsidRDefault="008B10D5" w:rsidP="00735A22">
      <w:pPr>
        <w:spacing w:line="360" w:lineRule="auto"/>
        <w:rPr>
          <w:rFonts w:ascii="Arial" w:hAnsi="Arial"/>
          <w:sz w:val="24"/>
          <w:szCs w:val="24"/>
        </w:rPr>
      </w:pPr>
    </w:p>
    <w:p w14:paraId="3203317B" w14:textId="77777777" w:rsidR="008B10D5" w:rsidRPr="007334B2" w:rsidRDefault="008B10D5" w:rsidP="00735A22">
      <w:pPr>
        <w:spacing w:line="360" w:lineRule="auto"/>
        <w:rPr>
          <w:rFonts w:ascii="Arial" w:hAnsi="Arial"/>
          <w:sz w:val="24"/>
          <w:szCs w:val="24"/>
        </w:rPr>
      </w:pPr>
    </w:p>
    <w:p w14:paraId="6F728A34" w14:textId="159DBD44" w:rsidR="008B10D5" w:rsidRPr="007334B2" w:rsidRDefault="008B10D5" w:rsidP="00735A22">
      <w:pPr>
        <w:pStyle w:val="Nagwek2"/>
        <w:rPr>
          <w:rFonts w:ascii="Arial" w:eastAsia="Verdana" w:hAnsi="Arial" w:cs="Arial"/>
          <w:b/>
          <w:bCs/>
          <w:color w:val="auto"/>
          <w:sz w:val="24"/>
          <w:szCs w:val="24"/>
        </w:rPr>
      </w:pPr>
      <w:bookmarkStart w:id="4" w:name="_Toc109792033"/>
      <w:r w:rsidRPr="007334B2">
        <w:rPr>
          <w:rFonts w:ascii="Arial" w:eastAsia="Verdana" w:hAnsi="Arial" w:cs="Arial"/>
          <w:b/>
          <w:bCs/>
          <w:color w:val="auto"/>
          <w:sz w:val="24"/>
          <w:szCs w:val="24"/>
        </w:rPr>
        <w:t>1.3.</w:t>
      </w:r>
      <w:r w:rsidRPr="007334B2">
        <w:rPr>
          <w:rFonts w:ascii="Arial" w:eastAsia="Times New Roman" w:hAnsi="Arial" w:cs="Arial"/>
          <w:b/>
          <w:bCs/>
          <w:color w:val="auto"/>
          <w:sz w:val="24"/>
          <w:szCs w:val="24"/>
        </w:rPr>
        <w:tab/>
      </w:r>
      <w:r w:rsidRPr="007334B2">
        <w:rPr>
          <w:rFonts w:ascii="Arial" w:eastAsia="Verdana" w:hAnsi="Arial" w:cs="Arial"/>
          <w:b/>
          <w:bCs/>
          <w:color w:val="auto"/>
          <w:sz w:val="24"/>
          <w:szCs w:val="24"/>
        </w:rPr>
        <w:t>Zestawienie wysokości zadłużenia i kosztu obsługi długu w latach 2017</w:t>
      </w:r>
      <w:r w:rsidR="0094385A" w:rsidRPr="007334B2">
        <w:rPr>
          <w:rFonts w:ascii="Arial" w:eastAsia="Verdana" w:hAnsi="Arial" w:cs="Arial"/>
          <w:b/>
          <w:bCs/>
          <w:color w:val="auto"/>
          <w:sz w:val="24"/>
          <w:szCs w:val="24"/>
        </w:rPr>
        <w:t xml:space="preserve"> </w:t>
      </w:r>
      <w:r w:rsidRPr="007334B2">
        <w:rPr>
          <w:rFonts w:ascii="Arial" w:eastAsia="Verdana" w:hAnsi="Arial" w:cs="Arial"/>
          <w:b/>
          <w:bCs/>
          <w:color w:val="auto"/>
          <w:sz w:val="24"/>
          <w:szCs w:val="24"/>
        </w:rPr>
        <w:t>-2021</w:t>
      </w:r>
      <w:bookmarkEnd w:id="4"/>
    </w:p>
    <w:p w14:paraId="4CE00FE6" w14:textId="4ACEB5EF" w:rsidR="00A729F8" w:rsidRPr="007334B2" w:rsidRDefault="00A729F8" w:rsidP="00735A22">
      <w:pPr>
        <w:rPr>
          <w:rFonts w:ascii="Arial" w:hAnsi="Arial"/>
          <w:sz w:val="24"/>
          <w:szCs w:val="24"/>
        </w:rPr>
      </w:pPr>
    </w:p>
    <w:p w14:paraId="77266152" w14:textId="77777777" w:rsidR="00A729F8" w:rsidRPr="007334B2" w:rsidRDefault="00A729F8" w:rsidP="00735A22">
      <w:pPr>
        <w:rPr>
          <w:rFonts w:ascii="Arial" w:hAnsi="Arial"/>
          <w:sz w:val="24"/>
          <w:szCs w:val="24"/>
        </w:rPr>
      </w:pPr>
    </w:p>
    <w:p w14:paraId="0BF2D89B" w14:textId="36A750C6" w:rsidR="008B10D5" w:rsidRPr="007334B2" w:rsidRDefault="008B10D5" w:rsidP="00735A22">
      <w:pPr>
        <w:spacing w:line="360" w:lineRule="auto"/>
        <w:rPr>
          <w:rFonts w:ascii="Arial" w:hAnsi="Arial"/>
          <w:noProof/>
          <w:sz w:val="24"/>
          <w:szCs w:val="24"/>
        </w:rPr>
      </w:pPr>
      <w:r w:rsidRPr="007334B2">
        <w:rPr>
          <w:rFonts w:ascii="Arial" w:hAnsi="Arial"/>
          <w:noProof/>
          <w:sz w:val="24"/>
          <w:szCs w:val="24"/>
        </w:rPr>
        <w:drawing>
          <wp:inline distT="0" distB="0" distL="0" distR="0" wp14:anchorId="1C72557B" wp14:editId="3ADF2056">
            <wp:extent cx="6262777" cy="4106173"/>
            <wp:effectExtent l="0" t="0" r="5080" b="8890"/>
            <wp:docPr id="3" name="Wykres 3" descr="Zestawienie wysokości zadłużenia i kosztu obsługi długu"/>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6C645B" w14:textId="77777777" w:rsidR="008B10D5" w:rsidRPr="007334B2" w:rsidRDefault="008B10D5" w:rsidP="00735A22">
      <w:pPr>
        <w:pStyle w:val="Nagwek2"/>
        <w:spacing w:line="360" w:lineRule="auto"/>
        <w:rPr>
          <w:rFonts w:ascii="Arial" w:eastAsia="Verdana" w:hAnsi="Arial" w:cs="Arial"/>
          <w:b/>
          <w:bCs/>
          <w:color w:val="auto"/>
          <w:sz w:val="24"/>
          <w:szCs w:val="24"/>
        </w:rPr>
      </w:pPr>
      <w:bookmarkStart w:id="5" w:name="_Toc109792034"/>
      <w:r w:rsidRPr="007334B2">
        <w:rPr>
          <w:rFonts w:ascii="Arial" w:eastAsia="Verdana" w:hAnsi="Arial" w:cs="Arial"/>
          <w:b/>
          <w:bCs/>
          <w:color w:val="auto"/>
          <w:sz w:val="24"/>
          <w:szCs w:val="24"/>
        </w:rPr>
        <w:t>1.4.</w:t>
      </w:r>
      <w:r w:rsidRPr="007334B2">
        <w:rPr>
          <w:rFonts w:ascii="Arial" w:eastAsia="Times New Roman" w:hAnsi="Arial" w:cs="Arial"/>
          <w:b/>
          <w:bCs/>
          <w:color w:val="auto"/>
          <w:sz w:val="24"/>
          <w:szCs w:val="24"/>
        </w:rPr>
        <w:tab/>
      </w:r>
      <w:r w:rsidRPr="007334B2">
        <w:rPr>
          <w:rFonts w:ascii="Arial" w:eastAsia="Verdana" w:hAnsi="Arial" w:cs="Arial"/>
          <w:b/>
          <w:bCs/>
          <w:color w:val="auto"/>
          <w:sz w:val="24"/>
          <w:szCs w:val="24"/>
        </w:rPr>
        <w:t>Określenie wskaźników monitorujących kondycję finansową Miasta Włocławek</w:t>
      </w:r>
      <w:bookmarkEnd w:id="5"/>
      <w:r w:rsidRPr="007334B2">
        <w:rPr>
          <w:rFonts w:ascii="Arial" w:eastAsia="Verdana" w:hAnsi="Arial" w:cs="Arial"/>
          <w:b/>
          <w:bCs/>
          <w:color w:val="auto"/>
          <w:sz w:val="24"/>
          <w:szCs w:val="24"/>
        </w:rPr>
        <w:t xml:space="preserve"> </w:t>
      </w:r>
    </w:p>
    <w:p w14:paraId="1F530427" w14:textId="2014D317" w:rsidR="008B10D5" w:rsidRPr="007334B2" w:rsidRDefault="008B10D5" w:rsidP="00735A22">
      <w:pPr>
        <w:spacing w:line="360" w:lineRule="auto"/>
        <w:ind w:right="20" w:firstLine="700"/>
        <w:rPr>
          <w:rFonts w:ascii="Arial" w:eastAsia="Verdana" w:hAnsi="Arial"/>
          <w:sz w:val="24"/>
          <w:szCs w:val="24"/>
        </w:rPr>
      </w:pPr>
      <w:r w:rsidRPr="007334B2">
        <w:rPr>
          <w:rFonts w:ascii="Arial" w:eastAsia="Verdana" w:hAnsi="Arial"/>
          <w:sz w:val="24"/>
          <w:szCs w:val="24"/>
        </w:rPr>
        <w:t xml:space="preserve">Podstawowym wskaźnikiem określającym kondycję finansową jednostki samorządu terytorialnego oraz wskazującym na obciążenia wynikające z posiadanego długu jest </w:t>
      </w:r>
      <w:r w:rsidRPr="007334B2">
        <w:rPr>
          <w:rFonts w:ascii="Arial" w:eastAsia="Verdana" w:hAnsi="Arial"/>
          <w:bCs/>
          <w:sz w:val="24"/>
          <w:szCs w:val="24"/>
        </w:rPr>
        <w:lastRenderedPageBreak/>
        <w:t xml:space="preserve">indywidualny wskaźnik zadłużenia </w:t>
      </w:r>
      <w:r w:rsidR="003C238D" w:rsidRPr="007334B2">
        <w:rPr>
          <w:rFonts w:ascii="Arial" w:eastAsia="Verdana" w:hAnsi="Arial"/>
          <w:sz w:val="24"/>
          <w:szCs w:val="24"/>
        </w:rPr>
        <w:t>unormowany</w:t>
      </w:r>
      <w:r w:rsidRPr="007334B2">
        <w:rPr>
          <w:rFonts w:ascii="Arial" w:eastAsia="Verdana" w:hAnsi="Arial"/>
          <w:sz w:val="24"/>
          <w:szCs w:val="24"/>
        </w:rPr>
        <w:t xml:space="preserve"> w art. 243 Ustawy o finansach publicznych</w:t>
      </w:r>
      <w:r w:rsidR="003C238D" w:rsidRPr="007334B2">
        <w:rPr>
          <w:rFonts w:ascii="Arial" w:eastAsia="Verdana" w:hAnsi="Arial"/>
          <w:sz w:val="24"/>
          <w:szCs w:val="24"/>
        </w:rPr>
        <w:t xml:space="preserve">, który </w:t>
      </w:r>
      <w:r w:rsidRPr="007334B2">
        <w:rPr>
          <w:rFonts w:ascii="Arial" w:eastAsia="Verdana" w:hAnsi="Arial"/>
          <w:sz w:val="24"/>
          <w:szCs w:val="24"/>
        </w:rPr>
        <w:t>obliguje</w:t>
      </w:r>
      <w:r w:rsidR="00735A22" w:rsidRPr="007334B2">
        <w:rPr>
          <w:rFonts w:ascii="Arial" w:eastAsia="Verdana" w:hAnsi="Arial"/>
          <w:sz w:val="24"/>
          <w:szCs w:val="24"/>
        </w:rPr>
        <w:t xml:space="preserve"> </w:t>
      </w:r>
      <w:r w:rsidRPr="007334B2">
        <w:rPr>
          <w:rFonts w:ascii="Arial" w:eastAsia="Verdana" w:hAnsi="Arial"/>
          <w:sz w:val="24"/>
          <w:szCs w:val="24"/>
        </w:rPr>
        <w:t>do spełnienia relacji:</w:t>
      </w:r>
    </w:p>
    <w:p w14:paraId="4ED300D8" w14:textId="77777777" w:rsidR="008B10D5" w:rsidRPr="007334B2" w:rsidRDefault="008B10D5" w:rsidP="00735A22">
      <w:pPr>
        <w:spacing w:line="360" w:lineRule="auto"/>
        <w:rPr>
          <w:rFonts w:ascii="Arial" w:eastAsia="Times New Roman" w:hAnsi="Arial"/>
          <w:sz w:val="24"/>
          <w:szCs w:val="24"/>
        </w:rPr>
      </w:pPr>
    </w:p>
    <w:p w14:paraId="0FD42C8C" w14:textId="77777777" w:rsidR="008B10D5" w:rsidRPr="007334B2" w:rsidRDefault="008B10D5" w:rsidP="00735A22">
      <w:pPr>
        <w:spacing w:line="360" w:lineRule="auto"/>
        <w:ind w:left="700"/>
        <w:rPr>
          <w:rFonts w:ascii="Arial" w:eastAsia="Times New Roman" w:hAnsi="Arial"/>
          <w:sz w:val="24"/>
          <w:szCs w:val="24"/>
        </w:rPr>
      </w:pPr>
      <w:r w:rsidRPr="007334B2">
        <w:rPr>
          <w:rFonts w:ascii="Arial" w:eastAsia="Times New Roman" w:hAnsi="Arial"/>
          <w:noProof/>
          <w:sz w:val="24"/>
          <w:szCs w:val="24"/>
        </w:rPr>
        <w:drawing>
          <wp:inline distT="0" distB="0" distL="0" distR="0" wp14:anchorId="40F66AE8" wp14:editId="6B603451">
            <wp:extent cx="3105505" cy="345057"/>
            <wp:effectExtent l="0" t="0" r="0" b="0"/>
            <wp:docPr id="2" name="Obraz 2" descr="Wzór matemat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Wzór matematyczn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2164" cy="370241"/>
                    </a:xfrm>
                    <a:prstGeom prst="rect">
                      <a:avLst/>
                    </a:prstGeom>
                    <a:noFill/>
                    <a:ln>
                      <a:noFill/>
                    </a:ln>
                  </pic:spPr>
                </pic:pic>
              </a:graphicData>
            </a:graphic>
          </wp:inline>
        </w:drawing>
      </w:r>
    </w:p>
    <w:p w14:paraId="089FDD50" w14:textId="04F5F484" w:rsidR="008B10D5" w:rsidRPr="007334B2" w:rsidRDefault="008B10D5" w:rsidP="00735A22">
      <w:pPr>
        <w:spacing w:line="360" w:lineRule="auto"/>
        <w:rPr>
          <w:rFonts w:ascii="Arial" w:eastAsia="Verdana" w:hAnsi="Arial"/>
          <w:sz w:val="24"/>
          <w:szCs w:val="24"/>
        </w:rPr>
      </w:pPr>
      <w:bookmarkStart w:id="6" w:name="page10"/>
      <w:bookmarkEnd w:id="6"/>
      <w:r w:rsidRPr="007334B2">
        <w:rPr>
          <w:rFonts w:ascii="Arial" w:eastAsia="Verdana" w:hAnsi="Arial"/>
          <w:sz w:val="24"/>
          <w:szCs w:val="24"/>
        </w:rPr>
        <w:t>gdzie:</w:t>
      </w:r>
    </w:p>
    <w:p w14:paraId="4C2911D4" w14:textId="6F8CBC80" w:rsidR="008B10D5" w:rsidRPr="007334B2" w:rsidRDefault="008B10D5" w:rsidP="00735A22">
      <w:pPr>
        <w:numPr>
          <w:ilvl w:val="0"/>
          <w:numId w:val="2"/>
        </w:numPr>
        <w:tabs>
          <w:tab w:val="left" w:pos="708"/>
        </w:tabs>
        <w:spacing w:line="360" w:lineRule="auto"/>
        <w:ind w:left="720" w:right="20" w:hanging="367"/>
        <w:rPr>
          <w:rFonts w:ascii="Arial" w:eastAsia="Arial" w:hAnsi="Arial"/>
          <w:sz w:val="24"/>
          <w:szCs w:val="24"/>
        </w:rPr>
      </w:pPr>
      <w:r w:rsidRPr="007334B2">
        <w:rPr>
          <w:rFonts w:ascii="Arial" w:eastAsia="Verdana" w:hAnsi="Arial"/>
          <w:sz w:val="24"/>
          <w:szCs w:val="24"/>
        </w:rPr>
        <w:t>Db – planowane na rok, na który ustalana jest relacja, dochody bieżące budżetu pomniejszone o dotacje i środki przeznaczone na cele bieżące,</w:t>
      </w:r>
    </w:p>
    <w:p w14:paraId="699EFFD4" w14:textId="32F79BF2" w:rsidR="008B10D5" w:rsidRPr="007334B2" w:rsidRDefault="008B10D5" w:rsidP="00735A22">
      <w:pPr>
        <w:numPr>
          <w:ilvl w:val="0"/>
          <w:numId w:val="2"/>
        </w:numPr>
        <w:tabs>
          <w:tab w:val="left" w:pos="708"/>
        </w:tabs>
        <w:spacing w:line="360" w:lineRule="auto"/>
        <w:ind w:left="720" w:right="20" w:hanging="367"/>
        <w:rPr>
          <w:rFonts w:ascii="Arial" w:eastAsia="Arial" w:hAnsi="Arial"/>
          <w:sz w:val="24"/>
          <w:szCs w:val="24"/>
        </w:rPr>
      </w:pPr>
      <w:proofErr w:type="spellStart"/>
      <w:r w:rsidRPr="007334B2">
        <w:rPr>
          <w:rFonts w:ascii="Arial" w:eastAsia="Verdana" w:hAnsi="Arial"/>
          <w:sz w:val="24"/>
          <w:szCs w:val="24"/>
        </w:rPr>
        <w:t>Dbei</w:t>
      </w:r>
      <w:proofErr w:type="spellEnd"/>
      <w:r w:rsidRPr="007334B2">
        <w:rPr>
          <w:rFonts w:ascii="Arial" w:eastAsia="Verdana" w:hAnsi="Arial"/>
          <w:sz w:val="24"/>
          <w:szCs w:val="24"/>
        </w:rPr>
        <w:t xml:space="preserve"> – dochody bieżące w roku poprzedzającym o i-lat rok, na który ustalana jest relacja, pomniejszone o dotacje i środki o charakterze bieżącym na realizację programu, projektu lub zadania finansowanego z udziałem środków, o których mowa w art. 5 ust. 1 pkt 2,</w:t>
      </w:r>
    </w:p>
    <w:p w14:paraId="2D51A4D1" w14:textId="029A59FD" w:rsidR="008B10D5" w:rsidRPr="007334B2" w:rsidRDefault="008B10D5" w:rsidP="00735A22">
      <w:pPr>
        <w:numPr>
          <w:ilvl w:val="0"/>
          <w:numId w:val="2"/>
        </w:numPr>
        <w:tabs>
          <w:tab w:val="left" w:pos="708"/>
        </w:tabs>
        <w:spacing w:line="360" w:lineRule="auto"/>
        <w:ind w:left="720" w:right="20" w:hanging="367"/>
        <w:rPr>
          <w:rFonts w:ascii="Arial" w:eastAsia="Arial" w:hAnsi="Arial"/>
          <w:sz w:val="24"/>
          <w:szCs w:val="24"/>
        </w:rPr>
      </w:pPr>
      <w:proofErr w:type="spellStart"/>
      <w:r w:rsidRPr="007334B2">
        <w:rPr>
          <w:rFonts w:ascii="Arial" w:eastAsia="Verdana" w:hAnsi="Arial"/>
          <w:sz w:val="24"/>
          <w:szCs w:val="24"/>
        </w:rPr>
        <w:t>Dbi</w:t>
      </w:r>
      <w:proofErr w:type="spellEnd"/>
      <w:r w:rsidRPr="007334B2">
        <w:rPr>
          <w:rFonts w:ascii="Arial" w:eastAsia="Verdana" w:hAnsi="Arial"/>
          <w:sz w:val="24"/>
          <w:szCs w:val="24"/>
        </w:rPr>
        <w:t xml:space="preserve"> – dochody bieżące w roku poprzedzającym o i-lat rok, na który ustalana jest relacja, pomniejszone o dotacje i środki przeznaczone na cele bieżące,</w:t>
      </w:r>
    </w:p>
    <w:p w14:paraId="302CA1A5" w14:textId="77777777" w:rsidR="008B10D5" w:rsidRPr="007334B2" w:rsidRDefault="008B10D5" w:rsidP="00735A22">
      <w:pPr>
        <w:numPr>
          <w:ilvl w:val="0"/>
          <w:numId w:val="2"/>
        </w:numPr>
        <w:tabs>
          <w:tab w:val="left" w:pos="708"/>
        </w:tabs>
        <w:spacing w:line="360" w:lineRule="auto"/>
        <w:ind w:left="720" w:right="20" w:hanging="367"/>
        <w:rPr>
          <w:rFonts w:ascii="Arial" w:eastAsia="Arial" w:hAnsi="Arial"/>
          <w:sz w:val="24"/>
          <w:szCs w:val="24"/>
        </w:rPr>
      </w:pPr>
      <w:proofErr w:type="spellStart"/>
      <w:r w:rsidRPr="007334B2">
        <w:rPr>
          <w:rFonts w:ascii="Arial" w:eastAsia="Verdana" w:hAnsi="Arial"/>
          <w:sz w:val="24"/>
          <w:szCs w:val="24"/>
        </w:rPr>
        <w:t>Wbei</w:t>
      </w:r>
      <w:proofErr w:type="spellEnd"/>
      <w:r w:rsidRPr="007334B2">
        <w:rPr>
          <w:rFonts w:ascii="Arial" w:eastAsia="Verdana" w:hAnsi="Arial"/>
          <w:sz w:val="24"/>
          <w:szCs w:val="24"/>
        </w:rPr>
        <w:t xml:space="preserve"> – wydatki bieżące w roku poprzedzającym o i-lat rok, na który ustalana jest relacja, pomniejszone o wydatki bieżące z tytułu spłaty rat zobowiązań zaliczanych do tytułu dłużnego, o którym mowa w art. 72 ust. 1 pkt 2, wydatki bieżące na obsługę długu oraz wydatki bieżące na realizację programu, projektu lub zadania finansowanego z udziałem środków, o których mowa w art. 5 ust. 1 pkt 2.</w:t>
      </w:r>
    </w:p>
    <w:p w14:paraId="3B4207DD" w14:textId="77777777" w:rsidR="008B10D5" w:rsidRPr="007334B2" w:rsidRDefault="008B10D5" w:rsidP="00735A22">
      <w:pPr>
        <w:spacing w:line="360" w:lineRule="auto"/>
        <w:rPr>
          <w:rFonts w:ascii="Arial" w:eastAsia="Times New Roman" w:hAnsi="Arial"/>
          <w:sz w:val="24"/>
          <w:szCs w:val="24"/>
        </w:rPr>
      </w:pPr>
    </w:p>
    <w:p w14:paraId="6F3489B7" w14:textId="77777777" w:rsidR="008B10D5" w:rsidRPr="007334B2" w:rsidRDefault="008B10D5" w:rsidP="00735A22">
      <w:pPr>
        <w:spacing w:line="360" w:lineRule="auto"/>
        <w:ind w:right="20"/>
        <w:rPr>
          <w:rFonts w:ascii="Arial" w:eastAsia="Verdana" w:hAnsi="Arial"/>
          <w:sz w:val="24"/>
          <w:szCs w:val="24"/>
        </w:rPr>
      </w:pPr>
      <w:r w:rsidRPr="007334B2">
        <w:rPr>
          <w:rFonts w:ascii="Arial" w:eastAsia="Verdana" w:hAnsi="Arial"/>
          <w:sz w:val="24"/>
          <w:szCs w:val="24"/>
        </w:rPr>
        <w:t>Przedstawiony wzór ma pełne zastosowanie dopiero od 2026 r. (do 2025 roku zmiany wprowadza się stopniowo, zgodnie z regułą obliczania w okresie przejściowym).</w:t>
      </w:r>
    </w:p>
    <w:p w14:paraId="4D9428EA" w14:textId="77777777" w:rsidR="008B10D5" w:rsidRPr="007334B2" w:rsidRDefault="008B10D5" w:rsidP="00735A22">
      <w:pPr>
        <w:spacing w:line="360" w:lineRule="auto"/>
        <w:rPr>
          <w:rFonts w:ascii="Arial" w:eastAsia="Times New Roman" w:hAnsi="Arial"/>
          <w:sz w:val="24"/>
          <w:szCs w:val="24"/>
        </w:rPr>
      </w:pPr>
    </w:p>
    <w:p w14:paraId="47F28787" w14:textId="77777777" w:rsidR="008B10D5" w:rsidRPr="007334B2" w:rsidRDefault="008B10D5" w:rsidP="00735A22">
      <w:pPr>
        <w:spacing w:line="360" w:lineRule="auto"/>
        <w:ind w:right="20" w:firstLine="708"/>
        <w:rPr>
          <w:rFonts w:ascii="Arial" w:eastAsia="Verdana" w:hAnsi="Arial"/>
          <w:b/>
          <w:sz w:val="24"/>
          <w:szCs w:val="24"/>
        </w:rPr>
      </w:pPr>
      <w:r w:rsidRPr="007334B2">
        <w:rPr>
          <w:rFonts w:ascii="Arial" w:eastAsia="Verdana" w:hAnsi="Arial"/>
          <w:b/>
          <w:sz w:val="24"/>
          <w:szCs w:val="24"/>
        </w:rPr>
        <w:t>Wskaźnik ten pozostaje spełniony w całym okresie objętym prognozami finansowymi dla miasta, a kształtowanie się jego poziomu w poszczególnych latach jest na bieżąco monitorowane.</w:t>
      </w:r>
    </w:p>
    <w:p w14:paraId="3E461CCF" w14:textId="77777777" w:rsidR="008B10D5" w:rsidRPr="007334B2" w:rsidRDefault="008B10D5" w:rsidP="00735A22">
      <w:pPr>
        <w:spacing w:line="360" w:lineRule="auto"/>
        <w:rPr>
          <w:rFonts w:ascii="Arial" w:eastAsia="Times New Roman" w:hAnsi="Arial"/>
          <w:sz w:val="24"/>
          <w:szCs w:val="24"/>
        </w:rPr>
      </w:pPr>
    </w:p>
    <w:p w14:paraId="0A6C4B8C" w14:textId="0F9E7E53" w:rsidR="005B30AC" w:rsidRPr="007334B2" w:rsidRDefault="00735A22" w:rsidP="00735A22">
      <w:pPr>
        <w:spacing w:line="360" w:lineRule="auto"/>
        <w:ind w:right="140"/>
        <w:rPr>
          <w:rFonts w:ascii="Arial" w:eastAsia="Verdana" w:hAnsi="Arial"/>
          <w:sz w:val="24"/>
          <w:szCs w:val="24"/>
        </w:rPr>
      </w:pPr>
      <w:r w:rsidRPr="007334B2">
        <w:rPr>
          <w:rFonts w:ascii="Arial" w:eastAsia="Verdana" w:hAnsi="Arial"/>
          <w:sz w:val="24"/>
          <w:szCs w:val="24"/>
        </w:rPr>
        <w:t xml:space="preserve"> </w:t>
      </w:r>
      <w:r w:rsidR="008B10D5" w:rsidRPr="007334B2">
        <w:rPr>
          <w:rFonts w:ascii="Arial" w:eastAsia="Verdana" w:hAnsi="Arial"/>
          <w:sz w:val="24"/>
          <w:szCs w:val="24"/>
        </w:rPr>
        <w:t xml:space="preserve">Zgodnie z Ustawą o finansach publicznych z 2009 r., jednostki samorządu terytorialnego mają </w:t>
      </w:r>
      <w:r w:rsidR="008B10D5" w:rsidRPr="007334B2">
        <w:rPr>
          <w:rFonts w:ascii="Arial" w:eastAsia="Verdana" w:hAnsi="Arial"/>
          <w:bCs/>
          <w:sz w:val="24"/>
          <w:szCs w:val="24"/>
        </w:rPr>
        <w:t>obowiązek utrzymywania zrównoważonego budżetu bieżącego.</w:t>
      </w:r>
      <w:r w:rsidR="008B10D5" w:rsidRPr="007334B2">
        <w:rPr>
          <w:rFonts w:ascii="Arial" w:eastAsia="Verdana" w:hAnsi="Arial"/>
          <w:sz w:val="24"/>
          <w:szCs w:val="24"/>
        </w:rPr>
        <w:t xml:space="preserve"> Do 2022 r. przepis</w:t>
      </w:r>
      <w:r w:rsidRPr="007334B2">
        <w:rPr>
          <w:rFonts w:ascii="Arial" w:eastAsia="Verdana" w:hAnsi="Arial"/>
          <w:sz w:val="24"/>
          <w:szCs w:val="24"/>
        </w:rPr>
        <w:t xml:space="preserve"> </w:t>
      </w:r>
      <w:r w:rsidR="008B10D5" w:rsidRPr="007334B2">
        <w:rPr>
          <w:rFonts w:ascii="Arial" w:eastAsia="Verdana" w:hAnsi="Arial"/>
          <w:sz w:val="24"/>
          <w:szCs w:val="24"/>
        </w:rPr>
        <w:t>art. 242</w:t>
      </w:r>
      <w:r w:rsidR="005B30AC" w:rsidRPr="007334B2">
        <w:rPr>
          <w:rFonts w:ascii="Arial" w:eastAsia="Verdana" w:hAnsi="Arial"/>
          <w:sz w:val="24"/>
          <w:szCs w:val="24"/>
        </w:rPr>
        <w:t xml:space="preserve"> </w:t>
      </w:r>
      <w:r w:rsidR="008B10D5" w:rsidRPr="007334B2">
        <w:rPr>
          <w:rFonts w:ascii="Arial" w:eastAsia="Verdana" w:hAnsi="Arial"/>
          <w:sz w:val="24"/>
          <w:szCs w:val="24"/>
        </w:rPr>
        <w:t>ust. 2 stanowi, że na koniec roku budżetowego wykonane wydatki bieżące nie mogą być wyższe niż wykonane dochody bieżące powiększone o nadwyżkę budżetową z lat ubiegłych i wolne środki. Po wprowadzonych zmianach w ustawie o finansach publicznych, od 2022 r.</w:t>
      </w:r>
      <w:r w:rsidRPr="007334B2">
        <w:rPr>
          <w:rFonts w:ascii="Arial" w:eastAsia="Verdana" w:hAnsi="Arial"/>
          <w:sz w:val="24"/>
          <w:szCs w:val="24"/>
        </w:rPr>
        <w:t xml:space="preserve"> </w:t>
      </w:r>
      <w:r w:rsidR="008B10D5" w:rsidRPr="007334B2">
        <w:rPr>
          <w:rFonts w:ascii="Arial" w:eastAsia="Verdana" w:hAnsi="Arial"/>
          <w:sz w:val="24"/>
          <w:szCs w:val="24"/>
        </w:rPr>
        <w:t xml:space="preserve">mają zastosowanie przepisy nakazujące, iż w wyliczeniach dotyczących zachowania równowagi budżetu w części bieżącej uwzględniona będzie </w:t>
      </w:r>
      <w:r w:rsidR="008B10D5" w:rsidRPr="007334B2">
        <w:rPr>
          <w:rFonts w:ascii="Arial" w:eastAsia="Verdana" w:hAnsi="Arial"/>
          <w:sz w:val="24"/>
          <w:szCs w:val="24"/>
        </w:rPr>
        <w:lastRenderedPageBreak/>
        <w:t>nadwyżka budżetu jednostki samorządu terytorialnego z lat ubiegłych, spłaty udzielonych przez jednostkę pożyczek w latach ubiegłych oraz niewykorzystane środki pieniężne na rachunku bieżącym budżetu, wynikające z rozliczenia dochodów i wydatków nimi finansowanych związanych ze szczególnymi zasadami wykonywania budżetu określonymi w odrębnych ustawach oraz wynikające z rozliczenia środków unijnych. Miasto Włocławek do tej pory utrzymywało znaczną nadwyżkę budżetu bieżącego,</w:t>
      </w:r>
      <w:r w:rsidRPr="007334B2">
        <w:rPr>
          <w:rFonts w:ascii="Arial" w:eastAsia="Verdana" w:hAnsi="Arial"/>
          <w:sz w:val="24"/>
          <w:szCs w:val="24"/>
        </w:rPr>
        <w:t xml:space="preserve"> </w:t>
      </w:r>
      <w:r w:rsidR="008B10D5" w:rsidRPr="007334B2">
        <w:rPr>
          <w:rFonts w:ascii="Arial" w:eastAsia="Verdana" w:hAnsi="Arial"/>
          <w:sz w:val="24"/>
          <w:szCs w:val="24"/>
        </w:rPr>
        <w:t>starając się optymalizować wydatki bieżące, przy jednoczesnych wysiłkach mających na celu zwiększenie bazy podatkowej i utrzymaniu tendencji wzrostowej dochodów bieżących. Pomimo panującej pandemii COVID-19, rok 2021 zakończył się dla Miasta dobrymi wynikami finansowymi. Prognozuje się, iż w 2022 roku i latach kolejnych może dojść do obniżenia poziomu nadwyżki bieżącej, związanej z jednej strony ze zmianą sytuacji makroekonomicznej</w:t>
      </w:r>
      <w:r w:rsidRPr="007334B2">
        <w:rPr>
          <w:rFonts w:ascii="Arial" w:eastAsia="Verdana" w:hAnsi="Arial"/>
          <w:sz w:val="24"/>
          <w:szCs w:val="24"/>
        </w:rPr>
        <w:t xml:space="preserve"> </w:t>
      </w:r>
      <w:r w:rsidR="008B10D5" w:rsidRPr="007334B2">
        <w:rPr>
          <w:rFonts w:ascii="Arial" w:eastAsia="Verdana" w:hAnsi="Arial"/>
          <w:sz w:val="24"/>
          <w:szCs w:val="24"/>
        </w:rPr>
        <w:t>i powiązanym z nią wzrostem inflacji, jak również wzrostem wynagrodzeń i cen dostaw towarów i usług oraz niższym poziomem konsumpcji, a z drugiej z przewidywanymi spadkami udziałów</w:t>
      </w:r>
      <w:r w:rsidRPr="007334B2">
        <w:rPr>
          <w:rFonts w:ascii="Arial" w:eastAsia="Verdana" w:hAnsi="Arial"/>
          <w:sz w:val="24"/>
          <w:szCs w:val="24"/>
        </w:rPr>
        <w:t xml:space="preserve"> </w:t>
      </w:r>
      <w:r w:rsidR="008B10D5" w:rsidRPr="007334B2">
        <w:rPr>
          <w:rFonts w:ascii="Arial" w:eastAsia="Verdana" w:hAnsi="Arial"/>
          <w:sz w:val="24"/>
          <w:szCs w:val="24"/>
        </w:rPr>
        <w:t>w dochodach z tytułu podatku od osób fizycznych</w:t>
      </w:r>
      <w:r w:rsidR="00C2467A" w:rsidRPr="007334B2">
        <w:rPr>
          <w:rFonts w:ascii="Arial" w:eastAsia="Verdana" w:hAnsi="Arial"/>
          <w:sz w:val="24"/>
          <w:szCs w:val="24"/>
        </w:rPr>
        <w:t xml:space="preserve"> i prawnych</w:t>
      </w:r>
      <w:r w:rsidR="008B10D5" w:rsidRPr="007334B2">
        <w:rPr>
          <w:rFonts w:ascii="Arial" w:eastAsia="Verdana" w:hAnsi="Arial"/>
          <w:sz w:val="24"/>
          <w:szCs w:val="24"/>
        </w:rPr>
        <w:t>, co również wiąże się ze wskazanym</w:t>
      </w:r>
      <w:r w:rsidR="00F11773" w:rsidRPr="007334B2">
        <w:rPr>
          <w:rFonts w:ascii="Arial" w:eastAsia="Verdana" w:hAnsi="Arial"/>
          <w:sz w:val="24"/>
          <w:szCs w:val="24"/>
        </w:rPr>
        <w:t>i</w:t>
      </w:r>
      <w:r w:rsidR="008B10D5" w:rsidRPr="007334B2">
        <w:rPr>
          <w:rFonts w:ascii="Arial" w:eastAsia="Verdana" w:hAnsi="Arial"/>
          <w:sz w:val="24"/>
          <w:szCs w:val="24"/>
        </w:rPr>
        <w:t xml:space="preserve"> wyżej </w:t>
      </w:r>
      <w:r w:rsidR="00F11773" w:rsidRPr="007334B2">
        <w:rPr>
          <w:rFonts w:ascii="Arial" w:eastAsia="Verdana" w:hAnsi="Arial"/>
          <w:sz w:val="24"/>
          <w:szCs w:val="24"/>
        </w:rPr>
        <w:t>czynnikami makroekonomicznymi</w:t>
      </w:r>
      <w:r w:rsidR="008B10D5" w:rsidRPr="007334B2">
        <w:rPr>
          <w:rFonts w:ascii="Arial" w:eastAsia="Verdana" w:hAnsi="Arial"/>
          <w:sz w:val="24"/>
          <w:szCs w:val="24"/>
        </w:rPr>
        <w:t>, jak i z wprowadzaną</w:t>
      </w:r>
      <w:r w:rsidR="00F11773" w:rsidRPr="007334B2">
        <w:rPr>
          <w:rFonts w:ascii="Arial" w:eastAsia="Verdana" w:hAnsi="Arial"/>
          <w:sz w:val="24"/>
          <w:szCs w:val="24"/>
        </w:rPr>
        <w:t xml:space="preserve"> aktualnie</w:t>
      </w:r>
      <w:r w:rsidR="008B10D5" w:rsidRPr="007334B2">
        <w:rPr>
          <w:rFonts w:ascii="Arial" w:eastAsia="Verdana" w:hAnsi="Arial"/>
          <w:sz w:val="24"/>
          <w:szCs w:val="24"/>
        </w:rPr>
        <w:t xml:space="preserve"> w życie reformą programów podatkowych w ramach kompleksowej strategii przezwyciężania skutków pandemii - Polski Ład. </w:t>
      </w:r>
    </w:p>
    <w:p w14:paraId="22CC1814" w14:textId="2FEBF6EA" w:rsidR="008B10D5" w:rsidRPr="007334B2" w:rsidRDefault="008B10D5" w:rsidP="00735A22">
      <w:pPr>
        <w:spacing w:line="360" w:lineRule="auto"/>
        <w:ind w:right="140"/>
        <w:rPr>
          <w:rFonts w:ascii="Arial" w:eastAsia="Verdana" w:hAnsi="Arial"/>
          <w:sz w:val="24"/>
          <w:szCs w:val="24"/>
        </w:rPr>
      </w:pPr>
      <w:r w:rsidRPr="007334B2">
        <w:rPr>
          <w:rFonts w:ascii="Arial" w:eastAsia="Verdana" w:hAnsi="Arial"/>
          <w:sz w:val="24"/>
          <w:szCs w:val="24"/>
        </w:rPr>
        <w:t>Jeżeli, zgodnie z zapowiedziami, rząd w jakimś stopniu zrekompensuje samorządom utracone dochody własne, to poziom nadwyżki bieżącej nadal powinien pozwolić na bezpieczną obsługę zaciągniętego zadłużenia oraz na realizację planowanych zadań.</w:t>
      </w:r>
    </w:p>
    <w:p w14:paraId="0AC479CE" w14:textId="77777777" w:rsidR="008B10D5" w:rsidRPr="007334B2" w:rsidRDefault="008B10D5" w:rsidP="00735A22">
      <w:pPr>
        <w:tabs>
          <w:tab w:val="left" w:pos="1001"/>
        </w:tabs>
        <w:spacing w:line="360" w:lineRule="auto"/>
        <w:ind w:right="140"/>
        <w:rPr>
          <w:rFonts w:ascii="Arial" w:eastAsia="Verdana" w:hAnsi="Arial"/>
          <w:b/>
          <w:sz w:val="24"/>
          <w:szCs w:val="24"/>
        </w:rPr>
      </w:pPr>
    </w:p>
    <w:p w14:paraId="4BD6C8D4" w14:textId="47027C21" w:rsidR="005B30AC" w:rsidRPr="007334B2" w:rsidRDefault="008B10D5" w:rsidP="00735A22">
      <w:pPr>
        <w:tabs>
          <w:tab w:val="left" w:pos="1001"/>
        </w:tabs>
        <w:spacing w:line="360" w:lineRule="auto"/>
        <w:ind w:right="140"/>
        <w:rPr>
          <w:rFonts w:ascii="Arial" w:eastAsia="Verdana" w:hAnsi="Arial"/>
          <w:sz w:val="24"/>
          <w:szCs w:val="24"/>
        </w:rPr>
      </w:pPr>
      <w:r w:rsidRPr="007334B2">
        <w:rPr>
          <w:rFonts w:ascii="Arial" w:eastAsia="Verdana" w:hAnsi="Arial"/>
          <w:bCs/>
          <w:sz w:val="24"/>
          <w:szCs w:val="24"/>
        </w:rPr>
        <w:t xml:space="preserve">Nowa zasada zrównoważonego budżetu zostanie spełniona dla całego okresu, na który przyjęto wieloletnią prognozę finansową. </w:t>
      </w:r>
      <w:r w:rsidR="00F11773" w:rsidRPr="007334B2">
        <w:rPr>
          <w:rFonts w:ascii="Arial" w:eastAsia="Verdana" w:hAnsi="Arial"/>
          <w:bCs/>
          <w:sz w:val="24"/>
          <w:szCs w:val="24"/>
        </w:rPr>
        <w:t xml:space="preserve">Z </w:t>
      </w:r>
      <w:r w:rsidRPr="007334B2">
        <w:rPr>
          <w:rFonts w:ascii="Arial" w:eastAsia="Verdana" w:hAnsi="Arial"/>
          <w:bCs/>
          <w:sz w:val="24"/>
          <w:szCs w:val="24"/>
        </w:rPr>
        <w:t>uwagi</w:t>
      </w:r>
      <w:r w:rsidRPr="007334B2">
        <w:rPr>
          <w:rFonts w:ascii="Arial" w:eastAsia="Verdana" w:hAnsi="Arial"/>
          <w:sz w:val="24"/>
          <w:szCs w:val="24"/>
        </w:rPr>
        <w:t xml:space="preserve"> na ograniczanie negatywnych skutków epidemii</w:t>
      </w:r>
      <w:r w:rsidR="00735A22" w:rsidRPr="007334B2">
        <w:rPr>
          <w:rFonts w:ascii="Arial" w:eastAsia="Verdana" w:hAnsi="Arial"/>
          <w:sz w:val="24"/>
          <w:szCs w:val="24"/>
        </w:rPr>
        <w:t xml:space="preserve"> </w:t>
      </w:r>
      <w:r w:rsidRPr="007334B2">
        <w:rPr>
          <w:rFonts w:ascii="Arial" w:eastAsia="Verdana" w:hAnsi="Arial"/>
          <w:sz w:val="24"/>
          <w:szCs w:val="24"/>
        </w:rPr>
        <w:t xml:space="preserve">COVID-19, ustawodawca wprowadził szczególne rozwiązania </w:t>
      </w:r>
      <w:r w:rsidR="00F11773" w:rsidRPr="007334B2">
        <w:rPr>
          <w:rFonts w:ascii="Arial" w:eastAsia="Verdana" w:hAnsi="Arial"/>
          <w:sz w:val="24"/>
          <w:szCs w:val="24"/>
        </w:rPr>
        <w:t xml:space="preserve">także </w:t>
      </w:r>
      <w:r w:rsidRPr="007334B2">
        <w:rPr>
          <w:rFonts w:ascii="Arial" w:eastAsia="Verdana" w:hAnsi="Arial"/>
          <w:sz w:val="24"/>
          <w:szCs w:val="24"/>
        </w:rPr>
        <w:t>w zakresie</w:t>
      </w:r>
      <w:r w:rsidR="00735A22" w:rsidRPr="007334B2">
        <w:rPr>
          <w:rFonts w:ascii="Arial" w:eastAsia="Verdana" w:hAnsi="Arial"/>
          <w:sz w:val="24"/>
          <w:szCs w:val="24"/>
        </w:rPr>
        <w:t xml:space="preserve"> </w:t>
      </w:r>
      <w:r w:rsidRPr="007334B2">
        <w:rPr>
          <w:rFonts w:ascii="Arial" w:eastAsia="Verdana" w:hAnsi="Arial"/>
          <w:sz w:val="24"/>
          <w:szCs w:val="24"/>
        </w:rPr>
        <w:t xml:space="preserve">m.in. równoważenia strony bieżącej budżetu oraz reguły ograniczającej zadłużenie przez jednostki samorządu terytorialnego. Ustalając relację </w:t>
      </w:r>
      <w:r w:rsidR="00F11773" w:rsidRPr="007334B2">
        <w:rPr>
          <w:rFonts w:ascii="Arial" w:eastAsia="Verdana" w:hAnsi="Arial"/>
          <w:sz w:val="24"/>
          <w:szCs w:val="24"/>
        </w:rPr>
        <w:t>na podstawie</w:t>
      </w:r>
      <w:r w:rsidRPr="007334B2">
        <w:rPr>
          <w:rFonts w:ascii="Arial" w:eastAsia="Verdana" w:hAnsi="Arial"/>
          <w:sz w:val="24"/>
          <w:szCs w:val="24"/>
        </w:rPr>
        <w:t xml:space="preserve"> art. 243 </w:t>
      </w:r>
      <w:r w:rsidR="00F11773" w:rsidRPr="007334B2">
        <w:rPr>
          <w:rFonts w:ascii="Arial" w:eastAsia="Verdana" w:hAnsi="Arial"/>
          <w:sz w:val="24"/>
          <w:szCs w:val="24"/>
        </w:rPr>
        <w:t>na</w:t>
      </w:r>
      <w:r w:rsidRPr="007334B2">
        <w:rPr>
          <w:rFonts w:ascii="Arial" w:eastAsia="Verdana" w:hAnsi="Arial"/>
          <w:sz w:val="24"/>
          <w:szCs w:val="24"/>
        </w:rPr>
        <w:t xml:space="preserve"> kolejne lata, wydatki bieżące podlegają pomniejszeniu o wydatki poniesione </w:t>
      </w:r>
      <w:r w:rsidR="00F11773" w:rsidRPr="007334B2">
        <w:rPr>
          <w:rFonts w:ascii="Arial" w:eastAsia="Verdana" w:hAnsi="Arial"/>
          <w:sz w:val="24"/>
          <w:szCs w:val="24"/>
        </w:rPr>
        <w:t>w roku poprzednim</w:t>
      </w:r>
      <w:r w:rsidRPr="007334B2">
        <w:rPr>
          <w:rFonts w:ascii="Arial" w:eastAsia="Verdana" w:hAnsi="Arial"/>
          <w:sz w:val="24"/>
          <w:szCs w:val="24"/>
        </w:rPr>
        <w:t xml:space="preserve"> w celu realizacji zadań związanych z przeciwdziałaniem COVID-19</w:t>
      </w:r>
      <w:r w:rsidR="00F11773" w:rsidRPr="007334B2">
        <w:rPr>
          <w:rFonts w:ascii="Arial" w:eastAsia="Verdana" w:hAnsi="Arial"/>
          <w:sz w:val="24"/>
          <w:szCs w:val="24"/>
        </w:rPr>
        <w:t>.</w:t>
      </w:r>
      <w:r w:rsidRPr="007334B2">
        <w:rPr>
          <w:rFonts w:ascii="Arial" w:eastAsia="Verdana" w:hAnsi="Arial"/>
          <w:sz w:val="24"/>
          <w:szCs w:val="24"/>
        </w:rPr>
        <w:t xml:space="preserve"> </w:t>
      </w:r>
    </w:p>
    <w:p w14:paraId="3BE5C614" w14:textId="77777777" w:rsidR="008B10D5" w:rsidRPr="007334B2" w:rsidRDefault="008B10D5" w:rsidP="00735A22">
      <w:pPr>
        <w:spacing w:line="360" w:lineRule="auto"/>
        <w:rPr>
          <w:rFonts w:ascii="Arial" w:eastAsia="Times New Roman" w:hAnsi="Arial"/>
          <w:sz w:val="24"/>
          <w:szCs w:val="24"/>
        </w:rPr>
      </w:pPr>
    </w:p>
    <w:p w14:paraId="78486FDF" w14:textId="46682224" w:rsidR="006579F2" w:rsidRPr="007334B2" w:rsidRDefault="008B10D5" w:rsidP="00735A22">
      <w:pPr>
        <w:spacing w:line="360" w:lineRule="auto"/>
        <w:ind w:right="140"/>
        <w:rPr>
          <w:rFonts w:ascii="Arial" w:eastAsia="Verdana" w:hAnsi="Arial"/>
          <w:sz w:val="24"/>
          <w:szCs w:val="24"/>
        </w:rPr>
      </w:pPr>
      <w:r w:rsidRPr="007334B2">
        <w:rPr>
          <w:rFonts w:ascii="Arial" w:eastAsia="Verdana" w:hAnsi="Arial"/>
          <w:sz w:val="24"/>
          <w:szCs w:val="24"/>
        </w:rPr>
        <w:t xml:space="preserve">Dodatkowym wskaźnikiem, który w ostatnich latach wpisał się w schemat analiz jednostek samorządu terytorialnego, jest </w:t>
      </w:r>
      <w:r w:rsidRPr="007334B2">
        <w:rPr>
          <w:rFonts w:ascii="Arial" w:eastAsia="Verdana" w:hAnsi="Arial"/>
          <w:bCs/>
          <w:sz w:val="24"/>
          <w:szCs w:val="24"/>
        </w:rPr>
        <w:t>poziom nadwyżki operacyjnej, liczonej</w:t>
      </w:r>
      <w:r w:rsidRPr="007334B2">
        <w:rPr>
          <w:rFonts w:ascii="Arial" w:eastAsia="Verdana" w:hAnsi="Arial"/>
          <w:sz w:val="24"/>
          <w:szCs w:val="24"/>
        </w:rPr>
        <w:t xml:space="preserve"> jako różnica między dochodami operacyjnymi (dochody bieżące pomniejszone o dochody finansowe oraz wpłaty</w:t>
      </w:r>
      <w:r w:rsidR="00735A22" w:rsidRPr="007334B2">
        <w:rPr>
          <w:rFonts w:ascii="Arial" w:eastAsia="Verdana" w:hAnsi="Arial"/>
          <w:sz w:val="24"/>
          <w:szCs w:val="24"/>
        </w:rPr>
        <w:t xml:space="preserve"> </w:t>
      </w:r>
      <w:r w:rsidRPr="007334B2">
        <w:rPr>
          <w:rFonts w:ascii="Arial" w:eastAsia="Verdana" w:hAnsi="Arial"/>
          <w:sz w:val="24"/>
          <w:szCs w:val="24"/>
        </w:rPr>
        <w:t xml:space="preserve">z zysku i dywidendy) a wydatkami operacyjnymi (wydatki bieżące pomniejszone o </w:t>
      </w:r>
      <w:r w:rsidRPr="007334B2">
        <w:rPr>
          <w:rFonts w:ascii="Arial" w:eastAsia="Verdana" w:hAnsi="Arial"/>
          <w:sz w:val="24"/>
          <w:szCs w:val="24"/>
        </w:rPr>
        <w:lastRenderedPageBreak/>
        <w:t xml:space="preserve">obsługę długu oraz dopłaty w spółkach prawa handlowego). Nadwyżka operacyjna jest jedną z ważniejszych wielkości obrazujących sytuację finansową Miasta. Jest podstawą do oceny jego potencjału inwestycyjnego oraz zdolności kredytowej. Informuje także, jakimi środkami Miasto dysponuje po zrealizowaniu wydatków operacyjnych. Wyniki operacyjne </w:t>
      </w:r>
      <w:r w:rsidR="00D40A27" w:rsidRPr="007334B2">
        <w:rPr>
          <w:rFonts w:ascii="Arial" w:eastAsia="Verdana" w:hAnsi="Arial"/>
          <w:sz w:val="24"/>
          <w:szCs w:val="24"/>
        </w:rPr>
        <w:t xml:space="preserve">Miasta </w:t>
      </w:r>
      <w:r w:rsidRPr="007334B2">
        <w:rPr>
          <w:rFonts w:ascii="Arial" w:eastAsia="Verdana" w:hAnsi="Arial"/>
          <w:sz w:val="24"/>
          <w:szCs w:val="24"/>
        </w:rPr>
        <w:t xml:space="preserve">Włocławek na przestrzeni ostatnich lat kształtowały się bardzo korzystnie. </w:t>
      </w:r>
      <w:r w:rsidR="006579F2" w:rsidRPr="007334B2">
        <w:rPr>
          <w:rFonts w:ascii="Arial" w:eastAsia="Verdana" w:hAnsi="Arial"/>
          <w:sz w:val="24"/>
          <w:szCs w:val="24"/>
        </w:rPr>
        <w:t xml:space="preserve">Nadwyżka operacyjna wynosiła: </w:t>
      </w:r>
    </w:p>
    <w:p w14:paraId="2CAAFEFC" w14:textId="7A2DA87E" w:rsidR="008B10D5" w:rsidRPr="007334B2" w:rsidRDefault="006579F2" w:rsidP="003B2568">
      <w:pPr>
        <w:pStyle w:val="Akapitzlist"/>
        <w:numPr>
          <w:ilvl w:val="0"/>
          <w:numId w:val="23"/>
        </w:numPr>
        <w:spacing w:before="240" w:line="360" w:lineRule="auto"/>
        <w:ind w:right="142"/>
        <w:rPr>
          <w:rFonts w:ascii="Arial" w:eastAsia="Verdana" w:hAnsi="Arial"/>
          <w:sz w:val="24"/>
          <w:szCs w:val="24"/>
        </w:rPr>
      </w:pPr>
      <w:r w:rsidRPr="007334B2">
        <w:rPr>
          <w:rFonts w:ascii="Arial" w:eastAsia="Verdana" w:hAnsi="Arial"/>
          <w:sz w:val="24"/>
          <w:szCs w:val="24"/>
        </w:rPr>
        <w:t>na dzień 31.12.2017 r. -</w:t>
      </w:r>
      <w:r w:rsidR="00735A22" w:rsidRPr="007334B2">
        <w:rPr>
          <w:rFonts w:ascii="Arial" w:eastAsia="Verdana" w:hAnsi="Arial"/>
          <w:sz w:val="24"/>
          <w:szCs w:val="24"/>
        </w:rPr>
        <w:t xml:space="preserve"> </w:t>
      </w:r>
      <w:r w:rsidR="00A9140A" w:rsidRPr="007334B2">
        <w:rPr>
          <w:rFonts w:ascii="Arial" w:eastAsia="Verdana" w:hAnsi="Arial"/>
          <w:sz w:val="24"/>
          <w:szCs w:val="24"/>
        </w:rPr>
        <w:t>66 3</w:t>
      </w:r>
      <w:r w:rsidR="008A47CD" w:rsidRPr="007334B2">
        <w:rPr>
          <w:rFonts w:ascii="Arial" w:eastAsia="Verdana" w:hAnsi="Arial"/>
          <w:sz w:val="24"/>
          <w:szCs w:val="24"/>
        </w:rPr>
        <w:t>3</w:t>
      </w:r>
      <w:r w:rsidR="00A9140A" w:rsidRPr="007334B2">
        <w:rPr>
          <w:rFonts w:ascii="Arial" w:eastAsia="Verdana" w:hAnsi="Arial"/>
          <w:sz w:val="24"/>
          <w:szCs w:val="24"/>
        </w:rPr>
        <w:t>5 049,00</w:t>
      </w:r>
      <w:r w:rsidRPr="007334B2">
        <w:rPr>
          <w:rFonts w:ascii="Arial" w:eastAsia="Verdana" w:hAnsi="Arial"/>
          <w:sz w:val="24"/>
          <w:szCs w:val="24"/>
        </w:rPr>
        <w:t xml:space="preserve"> zł; </w:t>
      </w:r>
    </w:p>
    <w:p w14:paraId="767D29F2" w14:textId="28F1B178" w:rsidR="006579F2" w:rsidRPr="007334B2" w:rsidRDefault="006579F2" w:rsidP="003B2568">
      <w:pPr>
        <w:pStyle w:val="Akapitzlist"/>
        <w:numPr>
          <w:ilvl w:val="0"/>
          <w:numId w:val="23"/>
        </w:numPr>
        <w:spacing w:line="360" w:lineRule="auto"/>
        <w:ind w:right="140"/>
        <w:rPr>
          <w:rFonts w:ascii="Arial" w:eastAsia="Verdana" w:hAnsi="Arial"/>
          <w:sz w:val="24"/>
          <w:szCs w:val="24"/>
        </w:rPr>
      </w:pPr>
      <w:r w:rsidRPr="007334B2">
        <w:rPr>
          <w:rFonts w:ascii="Arial" w:eastAsia="Verdana" w:hAnsi="Arial"/>
          <w:sz w:val="24"/>
          <w:szCs w:val="24"/>
        </w:rPr>
        <w:t>na dzień 31.12.2018 r. -</w:t>
      </w:r>
      <w:r w:rsidR="00735A22" w:rsidRPr="007334B2">
        <w:rPr>
          <w:rFonts w:ascii="Arial" w:eastAsia="Verdana" w:hAnsi="Arial"/>
          <w:sz w:val="24"/>
          <w:szCs w:val="24"/>
        </w:rPr>
        <w:t xml:space="preserve"> </w:t>
      </w:r>
      <w:r w:rsidR="00A9140A" w:rsidRPr="007334B2">
        <w:rPr>
          <w:rFonts w:ascii="Arial" w:eastAsia="Verdana" w:hAnsi="Arial"/>
          <w:sz w:val="24"/>
          <w:szCs w:val="24"/>
        </w:rPr>
        <w:t>61 869 158,00</w:t>
      </w:r>
      <w:r w:rsidRPr="007334B2">
        <w:rPr>
          <w:rFonts w:ascii="Arial" w:eastAsia="Verdana" w:hAnsi="Arial"/>
          <w:sz w:val="24"/>
          <w:szCs w:val="24"/>
        </w:rPr>
        <w:t xml:space="preserve"> zł; </w:t>
      </w:r>
    </w:p>
    <w:p w14:paraId="7A5D9075" w14:textId="283E291A" w:rsidR="006579F2" w:rsidRPr="007334B2" w:rsidRDefault="006579F2" w:rsidP="003B2568">
      <w:pPr>
        <w:pStyle w:val="Akapitzlist"/>
        <w:numPr>
          <w:ilvl w:val="0"/>
          <w:numId w:val="23"/>
        </w:numPr>
        <w:spacing w:line="360" w:lineRule="auto"/>
        <w:ind w:right="140"/>
        <w:rPr>
          <w:rFonts w:ascii="Arial" w:eastAsia="Verdana" w:hAnsi="Arial"/>
          <w:sz w:val="24"/>
          <w:szCs w:val="24"/>
        </w:rPr>
      </w:pPr>
      <w:r w:rsidRPr="007334B2">
        <w:rPr>
          <w:rFonts w:ascii="Arial" w:eastAsia="Verdana" w:hAnsi="Arial"/>
          <w:sz w:val="24"/>
          <w:szCs w:val="24"/>
        </w:rPr>
        <w:t>na dzień 31.12.2019 r. -</w:t>
      </w:r>
      <w:r w:rsidR="00735A22" w:rsidRPr="007334B2">
        <w:rPr>
          <w:rFonts w:ascii="Arial" w:eastAsia="Verdana" w:hAnsi="Arial"/>
          <w:sz w:val="24"/>
          <w:szCs w:val="24"/>
        </w:rPr>
        <w:t xml:space="preserve"> </w:t>
      </w:r>
      <w:r w:rsidR="00A9140A" w:rsidRPr="007334B2">
        <w:rPr>
          <w:rFonts w:ascii="Arial" w:eastAsia="Verdana" w:hAnsi="Arial"/>
          <w:sz w:val="24"/>
          <w:szCs w:val="24"/>
        </w:rPr>
        <w:t>60 802 043,00</w:t>
      </w:r>
      <w:r w:rsidRPr="007334B2">
        <w:rPr>
          <w:rFonts w:ascii="Arial" w:eastAsia="Verdana" w:hAnsi="Arial"/>
          <w:sz w:val="24"/>
          <w:szCs w:val="24"/>
        </w:rPr>
        <w:t xml:space="preserve"> zł;</w:t>
      </w:r>
    </w:p>
    <w:p w14:paraId="042173DE" w14:textId="7B50731A" w:rsidR="006579F2" w:rsidRPr="007334B2" w:rsidRDefault="006579F2" w:rsidP="003B2568">
      <w:pPr>
        <w:pStyle w:val="Akapitzlist"/>
        <w:numPr>
          <w:ilvl w:val="0"/>
          <w:numId w:val="23"/>
        </w:numPr>
        <w:spacing w:line="360" w:lineRule="auto"/>
        <w:ind w:right="140"/>
        <w:rPr>
          <w:rFonts w:ascii="Arial" w:eastAsia="Verdana" w:hAnsi="Arial"/>
          <w:sz w:val="24"/>
          <w:szCs w:val="24"/>
        </w:rPr>
      </w:pPr>
      <w:r w:rsidRPr="007334B2">
        <w:rPr>
          <w:rFonts w:ascii="Arial" w:eastAsia="Verdana" w:hAnsi="Arial"/>
          <w:sz w:val="24"/>
          <w:szCs w:val="24"/>
        </w:rPr>
        <w:t>na dzień 31.12.2020 r. -</w:t>
      </w:r>
      <w:r w:rsidR="00735A22" w:rsidRPr="007334B2">
        <w:rPr>
          <w:rFonts w:ascii="Arial" w:eastAsia="Verdana" w:hAnsi="Arial"/>
          <w:sz w:val="24"/>
          <w:szCs w:val="24"/>
        </w:rPr>
        <w:t xml:space="preserve"> </w:t>
      </w:r>
      <w:r w:rsidR="00A9140A" w:rsidRPr="007334B2">
        <w:rPr>
          <w:rFonts w:ascii="Arial" w:eastAsia="Verdana" w:hAnsi="Arial"/>
          <w:sz w:val="24"/>
          <w:szCs w:val="24"/>
        </w:rPr>
        <w:t>45 376 196,36</w:t>
      </w:r>
      <w:r w:rsidRPr="007334B2">
        <w:rPr>
          <w:rFonts w:ascii="Arial" w:eastAsia="Verdana" w:hAnsi="Arial"/>
          <w:sz w:val="24"/>
          <w:szCs w:val="24"/>
        </w:rPr>
        <w:t xml:space="preserve"> zł; </w:t>
      </w:r>
    </w:p>
    <w:p w14:paraId="1E07A3D9" w14:textId="73F6C977" w:rsidR="006579F2" w:rsidRPr="007334B2" w:rsidRDefault="006579F2" w:rsidP="003B2568">
      <w:pPr>
        <w:pStyle w:val="Akapitzlist"/>
        <w:numPr>
          <w:ilvl w:val="0"/>
          <w:numId w:val="23"/>
        </w:numPr>
        <w:spacing w:line="360" w:lineRule="auto"/>
        <w:ind w:right="140"/>
        <w:rPr>
          <w:rFonts w:ascii="Arial" w:eastAsia="Verdana" w:hAnsi="Arial"/>
          <w:sz w:val="24"/>
          <w:szCs w:val="24"/>
        </w:rPr>
      </w:pPr>
      <w:r w:rsidRPr="007334B2">
        <w:rPr>
          <w:rFonts w:ascii="Arial" w:eastAsia="Verdana" w:hAnsi="Arial"/>
          <w:sz w:val="24"/>
          <w:szCs w:val="24"/>
        </w:rPr>
        <w:t>na dzień 31.12.2021 r. -</w:t>
      </w:r>
      <w:r w:rsidR="00735A22" w:rsidRPr="007334B2">
        <w:rPr>
          <w:rFonts w:ascii="Arial" w:eastAsia="Verdana" w:hAnsi="Arial"/>
          <w:sz w:val="24"/>
          <w:szCs w:val="24"/>
        </w:rPr>
        <w:t xml:space="preserve"> </w:t>
      </w:r>
      <w:bookmarkStart w:id="7" w:name="_Hlk109791380"/>
      <w:r w:rsidRPr="007334B2">
        <w:rPr>
          <w:rFonts w:ascii="Arial" w:eastAsia="Verdana" w:hAnsi="Arial"/>
          <w:sz w:val="24"/>
          <w:szCs w:val="24"/>
        </w:rPr>
        <w:t>72 711 283,95 zł</w:t>
      </w:r>
      <w:bookmarkEnd w:id="7"/>
      <w:r w:rsidR="00A9140A" w:rsidRPr="007334B2">
        <w:rPr>
          <w:rFonts w:ascii="Arial" w:eastAsia="Verdana" w:hAnsi="Arial"/>
          <w:sz w:val="24"/>
          <w:szCs w:val="24"/>
        </w:rPr>
        <w:t>.</w:t>
      </w:r>
      <w:r w:rsidRPr="007334B2">
        <w:rPr>
          <w:rFonts w:ascii="Arial" w:eastAsia="Verdana" w:hAnsi="Arial"/>
          <w:sz w:val="24"/>
          <w:szCs w:val="24"/>
        </w:rPr>
        <w:t xml:space="preserve"> </w:t>
      </w:r>
    </w:p>
    <w:p w14:paraId="742087A2" w14:textId="1F004A26" w:rsidR="00162CA0" w:rsidRPr="007334B2" w:rsidRDefault="00162CA0" w:rsidP="00735A22">
      <w:pPr>
        <w:spacing w:line="360" w:lineRule="auto"/>
        <w:ind w:right="140"/>
        <w:rPr>
          <w:rFonts w:ascii="Arial" w:eastAsia="Verdana" w:hAnsi="Arial"/>
          <w:sz w:val="24"/>
          <w:szCs w:val="24"/>
        </w:rPr>
      </w:pPr>
    </w:p>
    <w:p w14:paraId="6929446E" w14:textId="78C23A53" w:rsidR="00162CA0" w:rsidRPr="007334B2" w:rsidRDefault="00162CA0" w:rsidP="00735A22">
      <w:pPr>
        <w:spacing w:line="360" w:lineRule="auto"/>
        <w:ind w:right="140"/>
        <w:rPr>
          <w:rFonts w:ascii="Arial" w:eastAsia="Verdana" w:hAnsi="Arial"/>
          <w:sz w:val="24"/>
          <w:szCs w:val="24"/>
          <w14:textOutline w14:w="9525" w14:cap="rnd" w14:cmpd="sng" w14:algn="ctr">
            <w14:solidFill>
              <w14:schemeClr w14:val="accent1"/>
            </w14:solidFill>
            <w14:prstDash w14:val="solid"/>
            <w14:bevel/>
          </w14:textOutline>
        </w:rPr>
      </w:pPr>
      <w:r w:rsidRPr="007334B2">
        <w:rPr>
          <w:rFonts w:ascii="Arial" w:eastAsia="Verdana" w:hAnsi="Arial"/>
          <w:noProof/>
          <w:sz w:val="24"/>
          <w:szCs w:val="24"/>
          <w14:textOutline w14:w="9525" w14:cap="rnd" w14:cmpd="sng" w14:algn="ctr">
            <w14:solidFill>
              <w14:schemeClr w14:val="accent1"/>
            </w14:solidFill>
            <w14:prstDash w14:val="solid"/>
            <w14:bevel/>
          </w14:textOutline>
        </w:rPr>
        <w:drawing>
          <wp:inline distT="0" distB="0" distL="0" distR="0" wp14:anchorId="4E4469ED" wp14:editId="22D93D36">
            <wp:extent cx="6057900" cy="3800475"/>
            <wp:effectExtent l="0" t="0" r="0" b="9525"/>
            <wp:docPr id="12" name="Wykres 12" descr="Nadwyżka operacyjna w latach 2017-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7D96FE" w14:textId="77777777" w:rsidR="006579F2" w:rsidRPr="007334B2" w:rsidRDefault="006579F2" w:rsidP="00735A22">
      <w:pPr>
        <w:spacing w:line="360" w:lineRule="auto"/>
        <w:ind w:right="140"/>
        <w:rPr>
          <w:rFonts w:ascii="Arial" w:eastAsia="Verdana" w:hAnsi="Arial"/>
          <w:sz w:val="24"/>
          <w:szCs w:val="24"/>
        </w:rPr>
      </w:pPr>
    </w:p>
    <w:p w14:paraId="5A3C620D" w14:textId="77777777" w:rsidR="009D07EE" w:rsidRPr="007334B2" w:rsidRDefault="009D07EE" w:rsidP="00735A22">
      <w:pPr>
        <w:spacing w:line="360" w:lineRule="auto"/>
        <w:ind w:right="140"/>
        <w:rPr>
          <w:rFonts w:ascii="Arial" w:eastAsia="Verdana" w:hAnsi="Arial"/>
          <w:sz w:val="24"/>
          <w:szCs w:val="24"/>
        </w:rPr>
      </w:pPr>
    </w:p>
    <w:p w14:paraId="7FB3051F" w14:textId="77777777" w:rsidR="009D07EE" w:rsidRPr="007334B2" w:rsidRDefault="009D07EE" w:rsidP="00735A22">
      <w:pPr>
        <w:spacing w:line="360" w:lineRule="auto"/>
        <w:ind w:right="140"/>
        <w:rPr>
          <w:rFonts w:ascii="Arial" w:eastAsia="Verdana" w:hAnsi="Arial"/>
          <w:sz w:val="24"/>
          <w:szCs w:val="24"/>
        </w:rPr>
      </w:pPr>
    </w:p>
    <w:p w14:paraId="5B1C98FA" w14:textId="1E2DF18C" w:rsidR="005B30AC" w:rsidRPr="007334B2" w:rsidRDefault="00735A22" w:rsidP="00735A22">
      <w:pPr>
        <w:spacing w:line="360" w:lineRule="auto"/>
        <w:ind w:right="140"/>
        <w:rPr>
          <w:rFonts w:ascii="Arial" w:eastAsia="Verdana" w:hAnsi="Arial"/>
          <w:sz w:val="24"/>
          <w:szCs w:val="24"/>
        </w:rPr>
      </w:pPr>
      <w:r w:rsidRPr="007334B2">
        <w:rPr>
          <w:rFonts w:ascii="Arial" w:eastAsia="Verdana" w:hAnsi="Arial"/>
          <w:sz w:val="24"/>
          <w:szCs w:val="24"/>
        </w:rPr>
        <w:t xml:space="preserve"> </w:t>
      </w:r>
      <w:r w:rsidR="008B10D5" w:rsidRPr="007334B2">
        <w:rPr>
          <w:rFonts w:ascii="Arial" w:eastAsia="Verdana" w:hAnsi="Arial"/>
          <w:sz w:val="24"/>
          <w:szCs w:val="24"/>
        </w:rPr>
        <w:t>Kolejnym wskaźnikiem analizowanym w trakcie sporządzania prognoz finansowych,</w:t>
      </w:r>
      <w:r w:rsidRPr="007334B2">
        <w:rPr>
          <w:rFonts w:ascii="Arial" w:eastAsia="Verdana" w:hAnsi="Arial"/>
          <w:sz w:val="24"/>
          <w:szCs w:val="24"/>
        </w:rPr>
        <w:t xml:space="preserve"> </w:t>
      </w:r>
      <w:r w:rsidR="008B10D5" w:rsidRPr="007334B2">
        <w:rPr>
          <w:rFonts w:ascii="Arial" w:eastAsia="Verdana" w:hAnsi="Arial"/>
          <w:sz w:val="24"/>
          <w:szCs w:val="24"/>
        </w:rPr>
        <w:t xml:space="preserve">w celu zapewnienia bezpieczeństwa finansowego miasta, jest </w:t>
      </w:r>
      <w:r w:rsidR="008B10D5" w:rsidRPr="007334B2">
        <w:rPr>
          <w:rFonts w:ascii="Arial" w:eastAsia="Verdana" w:hAnsi="Arial"/>
          <w:bCs/>
          <w:sz w:val="24"/>
          <w:szCs w:val="24"/>
        </w:rPr>
        <w:t>nadwyżka bieżąca netto</w:t>
      </w:r>
      <w:r w:rsidR="008B10D5" w:rsidRPr="007334B2">
        <w:rPr>
          <w:rFonts w:ascii="Arial" w:eastAsia="Verdana" w:hAnsi="Arial"/>
          <w:sz w:val="24"/>
          <w:szCs w:val="24"/>
        </w:rPr>
        <w:t>, rozumiana jako nadwyżka bieżąca pomniejszona o rozchody przypadające do spłaty</w:t>
      </w:r>
      <w:r w:rsidRPr="007334B2">
        <w:rPr>
          <w:rFonts w:ascii="Arial" w:eastAsia="Verdana" w:hAnsi="Arial"/>
          <w:sz w:val="24"/>
          <w:szCs w:val="24"/>
        </w:rPr>
        <w:t xml:space="preserve"> </w:t>
      </w:r>
      <w:r w:rsidR="008B10D5" w:rsidRPr="007334B2">
        <w:rPr>
          <w:rFonts w:ascii="Arial" w:eastAsia="Verdana" w:hAnsi="Arial"/>
          <w:sz w:val="24"/>
          <w:szCs w:val="24"/>
        </w:rPr>
        <w:t xml:space="preserve">w </w:t>
      </w:r>
      <w:r w:rsidR="008B10D5" w:rsidRPr="007334B2">
        <w:rPr>
          <w:rFonts w:ascii="Arial" w:eastAsia="Verdana" w:hAnsi="Arial"/>
          <w:sz w:val="24"/>
          <w:szCs w:val="24"/>
        </w:rPr>
        <w:lastRenderedPageBreak/>
        <w:t>konkretnym roku budżetowym. Dodatni poziom przedmiotowego wskaźnika wskazuje</w:t>
      </w:r>
      <w:r w:rsidRPr="007334B2">
        <w:rPr>
          <w:rFonts w:ascii="Arial" w:eastAsia="Verdana" w:hAnsi="Arial"/>
          <w:sz w:val="24"/>
          <w:szCs w:val="24"/>
        </w:rPr>
        <w:t xml:space="preserve"> </w:t>
      </w:r>
      <w:r w:rsidR="008B10D5" w:rsidRPr="007334B2">
        <w:rPr>
          <w:rFonts w:ascii="Arial" w:eastAsia="Verdana" w:hAnsi="Arial"/>
          <w:sz w:val="24"/>
          <w:szCs w:val="24"/>
        </w:rPr>
        <w:t>na zdolność miasta do obsługi posiadanego zadłużenia z uzyskiwanych dochodów bieżących,</w:t>
      </w:r>
      <w:r w:rsidRPr="007334B2">
        <w:rPr>
          <w:rFonts w:ascii="Arial" w:eastAsia="Verdana" w:hAnsi="Arial"/>
          <w:sz w:val="24"/>
          <w:szCs w:val="24"/>
        </w:rPr>
        <w:t xml:space="preserve"> </w:t>
      </w:r>
      <w:r w:rsidR="008B10D5" w:rsidRPr="007334B2">
        <w:rPr>
          <w:rFonts w:ascii="Arial" w:eastAsia="Verdana" w:hAnsi="Arial"/>
          <w:sz w:val="24"/>
          <w:szCs w:val="24"/>
        </w:rPr>
        <w:t xml:space="preserve">bez konieczności zaciągania kolejnych zobowiązań dłużnych na spłatę wcześniejszego długu. </w:t>
      </w:r>
    </w:p>
    <w:p w14:paraId="4FBCB3D8" w14:textId="61C7684F" w:rsidR="008B10D5" w:rsidRPr="007334B2" w:rsidRDefault="008B10D5" w:rsidP="00735A22">
      <w:pPr>
        <w:spacing w:line="360" w:lineRule="auto"/>
        <w:ind w:right="140"/>
        <w:rPr>
          <w:rFonts w:ascii="Arial" w:eastAsia="Verdana" w:hAnsi="Arial"/>
          <w:sz w:val="24"/>
          <w:szCs w:val="24"/>
        </w:rPr>
      </w:pPr>
      <w:r w:rsidRPr="007334B2">
        <w:rPr>
          <w:rFonts w:ascii="Arial" w:eastAsia="Verdana" w:hAnsi="Arial"/>
          <w:sz w:val="24"/>
          <w:szCs w:val="24"/>
        </w:rPr>
        <w:t>W odróżnieniu od indywidualnego wskaźnika zadłużenia, pokazuje on sytuację finansową samorządu w konkretnym roku, a nie opiera się na danych historycznych. Należy również brać pod uwagę, iż w przypadku przejściowych problemów z pokryciem obsługi zadłużenia bieżącymi dochodami, źródłem finansowania spłaty rozchodów mogą być również dochody ze sprzedaży majątku. Zagrożeniem dla osiąganego w kolejnych latach wyniku budżetu bieżącego</w:t>
      </w:r>
      <w:r w:rsidR="00735A22" w:rsidRPr="007334B2">
        <w:rPr>
          <w:rFonts w:ascii="Arial" w:eastAsia="Verdana" w:hAnsi="Arial"/>
          <w:sz w:val="24"/>
          <w:szCs w:val="24"/>
        </w:rPr>
        <w:t xml:space="preserve"> </w:t>
      </w:r>
      <w:r w:rsidRPr="007334B2">
        <w:rPr>
          <w:rFonts w:ascii="Arial" w:eastAsia="Verdana" w:hAnsi="Arial"/>
          <w:sz w:val="24"/>
          <w:szCs w:val="24"/>
        </w:rPr>
        <w:t>są w głównej mierze</w:t>
      </w:r>
      <w:r w:rsidR="009D07EE" w:rsidRPr="007334B2">
        <w:rPr>
          <w:rFonts w:ascii="Arial" w:eastAsia="Verdana" w:hAnsi="Arial"/>
          <w:sz w:val="24"/>
          <w:szCs w:val="24"/>
        </w:rPr>
        <w:t xml:space="preserve"> sytuacja makroekonomiczna aktualnie panująca na Świecie, jak również</w:t>
      </w:r>
      <w:r w:rsidRPr="007334B2">
        <w:rPr>
          <w:rFonts w:ascii="Arial" w:eastAsia="Verdana" w:hAnsi="Arial"/>
          <w:sz w:val="24"/>
          <w:szCs w:val="24"/>
        </w:rPr>
        <w:t xml:space="preserve"> wprowadzane zmiany prawne</w:t>
      </w:r>
      <w:r w:rsidR="00281B24" w:rsidRPr="007334B2">
        <w:rPr>
          <w:rFonts w:ascii="Arial" w:eastAsia="Verdana" w:hAnsi="Arial"/>
          <w:sz w:val="24"/>
          <w:szCs w:val="24"/>
        </w:rPr>
        <w:t>,</w:t>
      </w:r>
      <w:r w:rsidRPr="007334B2">
        <w:rPr>
          <w:rFonts w:ascii="Arial" w:eastAsia="Verdana" w:hAnsi="Arial"/>
          <w:sz w:val="24"/>
          <w:szCs w:val="24"/>
        </w:rPr>
        <w:t xml:space="preserve"> z jednej strony ograniczające dochody </w:t>
      </w:r>
      <w:proofErr w:type="spellStart"/>
      <w:r w:rsidRPr="007334B2">
        <w:rPr>
          <w:rFonts w:ascii="Arial" w:eastAsia="Verdana" w:hAnsi="Arial"/>
          <w:sz w:val="24"/>
          <w:szCs w:val="24"/>
        </w:rPr>
        <w:t>jst</w:t>
      </w:r>
      <w:proofErr w:type="spellEnd"/>
      <w:r w:rsidRPr="007334B2">
        <w:rPr>
          <w:rFonts w:ascii="Arial" w:eastAsia="Verdana" w:hAnsi="Arial"/>
          <w:sz w:val="24"/>
          <w:szCs w:val="24"/>
        </w:rPr>
        <w:t xml:space="preserve">, a z drugiej strony nakładające obowiązki związane z realizacją kolejnych zadań bez zapewnienia odpowiedniego </w:t>
      </w:r>
      <w:r w:rsidR="009D07EE" w:rsidRPr="007334B2">
        <w:rPr>
          <w:rFonts w:ascii="Arial" w:eastAsia="Verdana" w:hAnsi="Arial"/>
          <w:sz w:val="24"/>
          <w:szCs w:val="24"/>
        </w:rPr>
        <w:t>finansowania</w:t>
      </w:r>
      <w:r w:rsidRPr="007334B2">
        <w:rPr>
          <w:rFonts w:ascii="Arial" w:eastAsia="Verdana" w:hAnsi="Arial"/>
          <w:sz w:val="24"/>
          <w:szCs w:val="24"/>
        </w:rPr>
        <w:t xml:space="preserve"> oraz</w:t>
      </w:r>
      <w:r w:rsidR="009D07EE" w:rsidRPr="007334B2">
        <w:rPr>
          <w:rFonts w:ascii="Arial" w:eastAsia="Verdana" w:hAnsi="Arial"/>
          <w:sz w:val="24"/>
          <w:szCs w:val="24"/>
        </w:rPr>
        <w:t xml:space="preserve"> </w:t>
      </w:r>
      <w:r w:rsidRPr="007334B2">
        <w:rPr>
          <w:rFonts w:ascii="Arial" w:eastAsia="Verdana" w:hAnsi="Arial"/>
          <w:sz w:val="24"/>
          <w:szCs w:val="24"/>
        </w:rPr>
        <w:t>dalsze skutki wywołane przez COVID-19, powodujące mniejsze wpływy dochodów bieżących. Ponadto, z uwagi na wzrost inflacji w ostatnim czasie, może dojść</w:t>
      </w:r>
      <w:r w:rsidR="00735A22" w:rsidRPr="007334B2">
        <w:rPr>
          <w:rFonts w:ascii="Arial" w:eastAsia="Verdana" w:hAnsi="Arial"/>
          <w:sz w:val="24"/>
          <w:szCs w:val="24"/>
        </w:rPr>
        <w:t xml:space="preserve"> </w:t>
      </w:r>
      <w:r w:rsidRPr="007334B2">
        <w:rPr>
          <w:rFonts w:ascii="Arial" w:eastAsia="Verdana" w:hAnsi="Arial"/>
          <w:sz w:val="24"/>
          <w:szCs w:val="24"/>
        </w:rPr>
        <w:t xml:space="preserve">do zachwiania dynamiki wzrostu dochodów i wydatków, co również wpłynie na poziom wyniku budżetu bieżącego. </w:t>
      </w:r>
    </w:p>
    <w:p w14:paraId="154C568A" w14:textId="48F03051" w:rsidR="008B10D5" w:rsidRPr="007334B2" w:rsidRDefault="008B10D5" w:rsidP="00735A22">
      <w:pPr>
        <w:pStyle w:val="Nagwek1"/>
        <w:spacing w:line="360" w:lineRule="auto"/>
        <w:rPr>
          <w:rFonts w:ascii="Arial" w:hAnsi="Arial" w:cs="Arial"/>
          <w:b/>
          <w:bCs/>
          <w:color w:val="auto"/>
          <w:sz w:val="24"/>
          <w:szCs w:val="24"/>
        </w:rPr>
      </w:pPr>
      <w:bookmarkStart w:id="8" w:name="_Toc109792035"/>
      <w:r w:rsidRPr="007334B2">
        <w:rPr>
          <w:rFonts w:ascii="Arial" w:hAnsi="Arial" w:cs="Arial"/>
          <w:b/>
          <w:bCs/>
          <w:color w:val="auto"/>
          <w:sz w:val="24"/>
          <w:szCs w:val="24"/>
        </w:rPr>
        <w:t>2.</w:t>
      </w:r>
      <w:r w:rsidR="00735A22" w:rsidRPr="007334B2">
        <w:rPr>
          <w:rFonts w:ascii="Arial" w:hAnsi="Arial" w:cs="Arial"/>
          <w:b/>
          <w:bCs/>
          <w:color w:val="auto"/>
          <w:sz w:val="24"/>
          <w:szCs w:val="24"/>
        </w:rPr>
        <w:t xml:space="preserve"> </w:t>
      </w:r>
      <w:r w:rsidRPr="007334B2">
        <w:rPr>
          <w:rFonts w:ascii="Arial" w:hAnsi="Arial" w:cs="Arial"/>
          <w:b/>
          <w:bCs/>
          <w:color w:val="auto"/>
          <w:sz w:val="24"/>
          <w:szCs w:val="24"/>
        </w:rPr>
        <w:t>Uwarunkowania strategii</w:t>
      </w:r>
      <w:bookmarkEnd w:id="8"/>
      <w:r w:rsidRPr="007334B2">
        <w:rPr>
          <w:rFonts w:ascii="Arial" w:hAnsi="Arial" w:cs="Arial"/>
          <w:b/>
          <w:bCs/>
          <w:color w:val="auto"/>
          <w:sz w:val="24"/>
          <w:szCs w:val="24"/>
        </w:rPr>
        <w:t xml:space="preserve"> </w:t>
      </w:r>
    </w:p>
    <w:p w14:paraId="2CA0A348" w14:textId="280B2770" w:rsidR="008B10D5" w:rsidRPr="007334B2" w:rsidRDefault="00735A22" w:rsidP="00735A22">
      <w:pPr>
        <w:autoSpaceDE w:val="0"/>
        <w:autoSpaceDN w:val="0"/>
        <w:adjustRightInd w:val="0"/>
        <w:spacing w:before="240" w:line="360" w:lineRule="auto"/>
        <w:rPr>
          <w:rFonts w:ascii="Arial" w:hAnsi="Arial"/>
          <w:sz w:val="24"/>
          <w:szCs w:val="24"/>
        </w:rPr>
      </w:pPr>
      <w:r w:rsidRPr="007334B2">
        <w:rPr>
          <w:rFonts w:ascii="Arial" w:hAnsi="Arial"/>
          <w:sz w:val="24"/>
          <w:szCs w:val="24"/>
        </w:rPr>
        <w:t xml:space="preserve"> </w:t>
      </w:r>
      <w:r w:rsidR="008B10D5" w:rsidRPr="007334B2">
        <w:rPr>
          <w:rFonts w:ascii="Arial" w:hAnsi="Arial"/>
          <w:sz w:val="24"/>
          <w:szCs w:val="24"/>
        </w:rPr>
        <w:t>Optymalizacja procesów związanych z zarządzaniem długiem pozwala na zmniejszenie ryzyka finansowego poprzez określenie wielkości zapotrzebowania na środki z zewnątrz, minimalizacji kosztów obsługi długu przy dążeniu do optymalnej wielkości indywidualnego wskaźnika obsługi zadłużenia. Zapewnienie odpowiedniej płynności finansowej umożliwia</w:t>
      </w:r>
      <w:r w:rsidR="008B10D5" w:rsidRPr="007334B2">
        <w:rPr>
          <w:rFonts w:ascii="Arial" w:hAnsi="Arial"/>
          <w:color w:val="FF0000"/>
          <w:sz w:val="24"/>
          <w:szCs w:val="24"/>
        </w:rPr>
        <w:t xml:space="preserve"> </w:t>
      </w:r>
      <w:r w:rsidR="008B10D5" w:rsidRPr="007334B2">
        <w:rPr>
          <w:rFonts w:ascii="Arial" w:hAnsi="Arial"/>
          <w:sz w:val="24"/>
          <w:szCs w:val="24"/>
        </w:rPr>
        <w:t>regulowanie bieżących zobowiązań Miasta. W polityce zarządzania długiem uwzględniane są koszty obsługi długu oraz inne koszty związane z zaciągnięciem długu. Takie działanie sprzyja zapewnieniu stabilności finansowej Miasta i zabezpiecza przed ryzykiem utraty płynności finansowej. W celu zmniejszenia kosztów obsługi długu i ryzyka należy dokonywać analizy zadłużenia Miasta pod względem możliwości zamiany najdroższych instrumentów dłużnych na tańsze, z uwzględnieniem możliwości finansowych Miasta oraz ograniczeń wynikających z indywidualnego wskaźnika obsługi długu określonego w ustawie o finansach publicznych. W przypadku posiadania wolnych środków Miasto może dokonywać przedpłat rat kredytów krajowych przypadających do spłaty w danym roku, obniżając w ten sposób wydatki przeznaczone na obsługę zadłużenia.</w:t>
      </w:r>
      <w:r w:rsidR="008B10D5" w:rsidRPr="007334B2">
        <w:rPr>
          <w:rFonts w:ascii="Arial" w:hAnsi="Arial"/>
          <w:color w:val="FF0000"/>
          <w:sz w:val="24"/>
          <w:szCs w:val="24"/>
        </w:rPr>
        <w:t xml:space="preserve"> </w:t>
      </w:r>
    </w:p>
    <w:p w14:paraId="29A4CF02" w14:textId="77777777" w:rsidR="008B10D5" w:rsidRPr="007334B2" w:rsidRDefault="008B10D5" w:rsidP="00735A22">
      <w:pPr>
        <w:spacing w:line="360" w:lineRule="auto"/>
        <w:rPr>
          <w:rFonts w:ascii="Arial" w:hAnsi="Arial"/>
          <w:sz w:val="24"/>
          <w:szCs w:val="24"/>
        </w:rPr>
      </w:pPr>
    </w:p>
    <w:p w14:paraId="32A64F00" w14:textId="77777777" w:rsidR="008B10D5" w:rsidRPr="007334B2" w:rsidRDefault="008B10D5" w:rsidP="00735A22">
      <w:pPr>
        <w:pStyle w:val="Nagwek2"/>
        <w:spacing w:line="360" w:lineRule="auto"/>
        <w:rPr>
          <w:rFonts w:ascii="Arial" w:eastAsia="Verdana" w:hAnsi="Arial" w:cs="Arial"/>
          <w:b/>
          <w:bCs/>
          <w:color w:val="auto"/>
          <w:sz w:val="24"/>
          <w:szCs w:val="24"/>
        </w:rPr>
      </w:pPr>
      <w:bookmarkStart w:id="9" w:name="_Toc109792036"/>
      <w:r w:rsidRPr="007334B2">
        <w:rPr>
          <w:rFonts w:ascii="Arial" w:eastAsia="Verdana" w:hAnsi="Arial" w:cs="Arial"/>
          <w:b/>
          <w:bCs/>
          <w:color w:val="auto"/>
          <w:sz w:val="24"/>
          <w:szCs w:val="24"/>
        </w:rPr>
        <w:lastRenderedPageBreak/>
        <w:t>2.1.</w:t>
      </w:r>
      <w:r w:rsidRPr="007334B2">
        <w:rPr>
          <w:rFonts w:ascii="Arial" w:eastAsia="Verdana" w:hAnsi="Arial" w:cs="Arial"/>
          <w:b/>
          <w:bCs/>
          <w:color w:val="auto"/>
          <w:sz w:val="24"/>
          <w:szCs w:val="24"/>
        </w:rPr>
        <w:tab/>
        <w:t>Założenia makroekonomiczne</w:t>
      </w:r>
      <w:bookmarkEnd w:id="9"/>
    </w:p>
    <w:p w14:paraId="31319395" w14:textId="20160A5F" w:rsidR="008B10D5" w:rsidRPr="007334B2" w:rsidRDefault="00735A22" w:rsidP="00735A22">
      <w:pPr>
        <w:spacing w:before="240" w:line="360" w:lineRule="auto"/>
        <w:ind w:right="142"/>
        <w:rPr>
          <w:rFonts w:ascii="Arial" w:eastAsia="Verdana" w:hAnsi="Arial"/>
          <w:sz w:val="24"/>
          <w:szCs w:val="24"/>
        </w:rPr>
      </w:pPr>
      <w:r w:rsidRPr="007334B2">
        <w:rPr>
          <w:rFonts w:ascii="Arial" w:eastAsia="Verdana" w:hAnsi="Arial"/>
          <w:sz w:val="24"/>
          <w:szCs w:val="24"/>
        </w:rPr>
        <w:t xml:space="preserve"> </w:t>
      </w:r>
      <w:r w:rsidR="008B10D5" w:rsidRPr="007334B2">
        <w:rPr>
          <w:rFonts w:ascii="Arial" w:eastAsia="Verdana" w:hAnsi="Arial"/>
          <w:sz w:val="24"/>
          <w:szCs w:val="24"/>
        </w:rPr>
        <w:t xml:space="preserve">Strategia zarządzania długiem określa wytyczne dla tworzenia wieloletniej prognozy finansowej, która </w:t>
      </w:r>
      <w:r w:rsidR="00D40A27" w:rsidRPr="007334B2">
        <w:rPr>
          <w:rFonts w:ascii="Arial" w:eastAsia="Verdana" w:hAnsi="Arial"/>
          <w:sz w:val="24"/>
          <w:szCs w:val="24"/>
        </w:rPr>
        <w:t xml:space="preserve">powinna </w:t>
      </w:r>
      <w:r w:rsidR="008B10D5" w:rsidRPr="007334B2">
        <w:rPr>
          <w:rFonts w:ascii="Arial" w:eastAsia="Verdana" w:hAnsi="Arial"/>
          <w:sz w:val="24"/>
          <w:szCs w:val="24"/>
        </w:rPr>
        <w:t>stanowi</w:t>
      </w:r>
      <w:r w:rsidR="00D40A27" w:rsidRPr="007334B2">
        <w:rPr>
          <w:rFonts w:ascii="Arial" w:eastAsia="Verdana" w:hAnsi="Arial"/>
          <w:sz w:val="24"/>
          <w:szCs w:val="24"/>
        </w:rPr>
        <w:t>ć</w:t>
      </w:r>
      <w:r w:rsidR="008B10D5" w:rsidRPr="007334B2">
        <w:rPr>
          <w:rFonts w:ascii="Arial" w:eastAsia="Verdana" w:hAnsi="Arial"/>
          <w:sz w:val="24"/>
          <w:szCs w:val="24"/>
        </w:rPr>
        <w:t xml:space="preserve"> fundament dla pozostałych strategii Miasta. Założenia makroekonomiczne przyjmowane dla jej stworzenia, wynikają z wytycznych Ministerstwa Finansów dotyczących stosowania jednolitych wskaźników makroekonomicznych będących podstawą oszacowania skutków finansowych projektowanych ustaw.</w:t>
      </w:r>
    </w:p>
    <w:p w14:paraId="55F79A23" w14:textId="77777777" w:rsidR="008B10D5" w:rsidRPr="007334B2" w:rsidRDefault="008B10D5" w:rsidP="00735A22">
      <w:pPr>
        <w:spacing w:line="360" w:lineRule="auto"/>
        <w:rPr>
          <w:rFonts w:ascii="Arial" w:eastAsia="Times New Roman" w:hAnsi="Arial"/>
          <w:sz w:val="24"/>
          <w:szCs w:val="24"/>
        </w:rPr>
      </w:pPr>
    </w:p>
    <w:p w14:paraId="16E116D8" w14:textId="77777777" w:rsidR="008B10D5" w:rsidRPr="007334B2" w:rsidRDefault="008B10D5" w:rsidP="00735A22">
      <w:pPr>
        <w:pStyle w:val="Nagwek2"/>
        <w:spacing w:line="360" w:lineRule="auto"/>
        <w:rPr>
          <w:rFonts w:ascii="Arial" w:eastAsia="Verdana" w:hAnsi="Arial" w:cs="Arial"/>
          <w:b/>
          <w:bCs/>
          <w:color w:val="auto"/>
          <w:sz w:val="24"/>
          <w:szCs w:val="24"/>
        </w:rPr>
      </w:pPr>
      <w:bookmarkStart w:id="10" w:name="_Toc109792037"/>
      <w:r w:rsidRPr="007334B2">
        <w:rPr>
          <w:rFonts w:ascii="Arial" w:eastAsia="Verdana" w:hAnsi="Arial" w:cs="Arial"/>
          <w:b/>
          <w:bCs/>
          <w:color w:val="auto"/>
          <w:sz w:val="24"/>
          <w:szCs w:val="24"/>
        </w:rPr>
        <w:t>2.2.</w:t>
      </w:r>
      <w:r w:rsidRPr="007334B2">
        <w:rPr>
          <w:rFonts w:ascii="Arial" w:eastAsia="Times New Roman" w:hAnsi="Arial" w:cs="Arial"/>
          <w:b/>
          <w:bCs/>
          <w:color w:val="auto"/>
          <w:sz w:val="24"/>
          <w:szCs w:val="24"/>
        </w:rPr>
        <w:tab/>
      </w:r>
      <w:r w:rsidRPr="007334B2">
        <w:rPr>
          <w:rFonts w:ascii="Arial" w:eastAsia="Verdana" w:hAnsi="Arial" w:cs="Arial"/>
          <w:b/>
          <w:bCs/>
          <w:color w:val="auto"/>
          <w:sz w:val="24"/>
          <w:szCs w:val="24"/>
        </w:rPr>
        <w:t>Założenia realizacji inwestycji</w:t>
      </w:r>
      <w:bookmarkEnd w:id="10"/>
    </w:p>
    <w:p w14:paraId="5436260C" w14:textId="6C88B0A9" w:rsidR="008B10D5" w:rsidRPr="007334B2" w:rsidRDefault="00735A22" w:rsidP="00735A22">
      <w:pPr>
        <w:spacing w:before="240" w:line="360" w:lineRule="auto"/>
        <w:ind w:right="142"/>
        <w:rPr>
          <w:rFonts w:ascii="Arial" w:eastAsia="Verdana" w:hAnsi="Arial"/>
          <w:sz w:val="24"/>
          <w:szCs w:val="24"/>
        </w:rPr>
      </w:pPr>
      <w:r w:rsidRPr="007334B2">
        <w:rPr>
          <w:rFonts w:ascii="Arial" w:eastAsia="Verdana" w:hAnsi="Arial"/>
          <w:sz w:val="24"/>
          <w:szCs w:val="24"/>
        </w:rPr>
        <w:t xml:space="preserve"> </w:t>
      </w:r>
      <w:r w:rsidR="008B10D5" w:rsidRPr="007334B2">
        <w:rPr>
          <w:rFonts w:ascii="Arial" w:eastAsia="Verdana" w:hAnsi="Arial"/>
          <w:sz w:val="24"/>
          <w:szCs w:val="24"/>
        </w:rPr>
        <w:t>Zadłużenie planowane do zaciągnięcia w wieloletniej prognozie finansowej, wynika z poziomu wieloletnich przedsięwzięć inwestycyjnych ujętych w załączniku do uchwały</w:t>
      </w:r>
      <w:r w:rsidR="001736E1" w:rsidRPr="007334B2">
        <w:rPr>
          <w:rFonts w:ascii="Arial" w:eastAsia="Verdana" w:hAnsi="Arial"/>
          <w:sz w:val="24"/>
          <w:szCs w:val="24"/>
        </w:rPr>
        <w:t xml:space="preserve"> budżetowej</w:t>
      </w:r>
      <w:r w:rsidR="008B10D5" w:rsidRPr="007334B2">
        <w:rPr>
          <w:rFonts w:ascii="Arial" w:eastAsia="Verdana" w:hAnsi="Arial"/>
          <w:sz w:val="24"/>
          <w:szCs w:val="24"/>
        </w:rPr>
        <w:t>, a także z poziomu inwestycji jednorocznych. Do załącznika wprowadzane są projekty możliwe do realizacji, często posiadające już gotową dokumentację. Lista ta zawiera również projekty, dla których Miasto zamierza pozyskać finansowanie ze środków unijnych. Poziom pozostałych wydatków inwestycyjnych zaplanowany na przyszłe lata w wieloletniej prognozie finansowej,</w:t>
      </w:r>
      <w:r w:rsidRPr="007334B2">
        <w:rPr>
          <w:rFonts w:ascii="Arial" w:eastAsia="Verdana" w:hAnsi="Arial"/>
          <w:sz w:val="24"/>
          <w:szCs w:val="24"/>
        </w:rPr>
        <w:t xml:space="preserve"> </w:t>
      </w:r>
      <w:r w:rsidR="008B10D5" w:rsidRPr="007334B2">
        <w:rPr>
          <w:rFonts w:ascii="Arial" w:eastAsia="Verdana" w:hAnsi="Arial"/>
          <w:sz w:val="24"/>
          <w:szCs w:val="24"/>
        </w:rPr>
        <w:t xml:space="preserve">wynika z możliwości finansowych Miasta. </w:t>
      </w:r>
    </w:p>
    <w:p w14:paraId="3C5E826F" w14:textId="1191C413" w:rsidR="008B10D5" w:rsidRPr="007334B2" w:rsidRDefault="008B10D5" w:rsidP="00735A22">
      <w:pPr>
        <w:spacing w:line="360" w:lineRule="auto"/>
        <w:ind w:right="140"/>
        <w:rPr>
          <w:rFonts w:ascii="Arial" w:eastAsia="Verdana" w:hAnsi="Arial"/>
          <w:sz w:val="24"/>
          <w:szCs w:val="24"/>
        </w:rPr>
        <w:sectPr w:rsidR="008B10D5" w:rsidRPr="007334B2" w:rsidSect="006964C7">
          <w:headerReference w:type="default" r:id="rId12"/>
          <w:footerReference w:type="default" r:id="rId13"/>
          <w:type w:val="continuous"/>
          <w:pgSz w:w="11900" w:h="16838"/>
          <w:pgMar w:top="1410" w:right="986" w:bottom="425" w:left="1140" w:header="0" w:footer="0" w:gutter="0"/>
          <w:pgNumType w:start="1"/>
          <w:cols w:space="0" w:equalWidth="0">
            <w:col w:w="9780"/>
          </w:cols>
          <w:docGrid w:linePitch="360"/>
        </w:sectPr>
      </w:pPr>
      <w:r w:rsidRPr="007334B2">
        <w:rPr>
          <w:rFonts w:ascii="Arial" w:eastAsia="Verdana" w:hAnsi="Arial"/>
          <w:sz w:val="24"/>
          <w:szCs w:val="24"/>
        </w:rPr>
        <w:t xml:space="preserve">Na etapie sporządzania projektu budżetu oraz wieloletniej prognozy finansowej na kolejny rok, poziom wydatków inwestycyjnych może być zwiększony i sfinansowany ze zwrotnych środków zewnętrznych, przy zachowaniu bezpieczeństwa finansowego oraz utrzymaniu oczekiwanego poziomu wskaźników. </w:t>
      </w:r>
    </w:p>
    <w:p w14:paraId="10BEC1A1" w14:textId="4F32B8FF" w:rsidR="00861049" w:rsidRPr="007334B2" w:rsidRDefault="00861049" w:rsidP="00735A22">
      <w:pPr>
        <w:rPr>
          <w:rFonts w:ascii="Arial" w:eastAsia="Arial" w:hAnsi="Arial"/>
          <w:sz w:val="24"/>
          <w:szCs w:val="24"/>
        </w:rPr>
        <w:sectPr w:rsidR="00861049" w:rsidRPr="007334B2">
          <w:type w:val="continuous"/>
          <w:pgSz w:w="11900" w:h="16838"/>
          <w:pgMar w:top="1410" w:right="986" w:bottom="425" w:left="1140" w:header="0" w:footer="0" w:gutter="0"/>
          <w:cols w:space="0" w:equalWidth="0">
            <w:col w:w="9780"/>
          </w:cols>
          <w:docGrid w:linePitch="360"/>
        </w:sectPr>
      </w:pPr>
    </w:p>
    <w:p w14:paraId="6B79DF1F" w14:textId="77777777" w:rsidR="008B10D5" w:rsidRPr="007334B2" w:rsidRDefault="008B10D5" w:rsidP="00735A22">
      <w:pPr>
        <w:pStyle w:val="Nagwek1"/>
        <w:spacing w:line="360" w:lineRule="auto"/>
        <w:rPr>
          <w:rFonts w:ascii="Arial" w:hAnsi="Arial" w:cs="Arial"/>
          <w:b/>
          <w:bCs/>
          <w:color w:val="auto"/>
          <w:sz w:val="24"/>
          <w:szCs w:val="24"/>
        </w:rPr>
      </w:pPr>
      <w:bookmarkStart w:id="11" w:name="_Toc109792038"/>
      <w:r w:rsidRPr="007334B2">
        <w:rPr>
          <w:rFonts w:ascii="Arial" w:hAnsi="Arial" w:cs="Arial"/>
          <w:b/>
          <w:bCs/>
          <w:color w:val="auto"/>
          <w:sz w:val="24"/>
          <w:szCs w:val="24"/>
        </w:rPr>
        <w:t xml:space="preserve">3. Analiza </w:t>
      </w:r>
      <w:proofErr w:type="spellStart"/>
      <w:r w:rsidRPr="007334B2">
        <w:rPr>
          <w:rFonts w:ascii="Arial" w:hAnsi="Arial" w:cs="Arial"/>
          <w:b/>
          <w:bCs/>
          <w:color w:val="auto"/>
          <w:sz w:val="24"/>
          <w:szCs w:val="24"/>
        </w:rPr>
        <w:t>ryzyk</w:t>
      </w:r>
      <w:proofErr w:type="spellEnd"/>
      <w:r w:rsidRPr="007334B2">
        <w:rPr>
          <w:rFonts w:ascii="Arial" w:hAnsi="Arial" w:cs="Arial"/>
          <w:b/>
          <w:bCs/>
          <w:color w:val="auto"/>
          <w:sz w:val="24"/>
          <w:szCs w:val="24"/>
        </w:rPr>
        <w:t xml:space="preserve"> związanych z zarządzaniem długiem</w:t>
      </w:r>
      <w:bookmarkEnd w:id="11"/>
      <w:r w:rsidRPr="007334B2">
        <w:rPr>
          <w:rFonts w:ascii="Arial" w:hAnsi="Arial" w:cs="Arial"/>
          <w:b/>
          <w:bCs/>
          <w:color w:val="auto"/>
          <w:sz w:val="24"/>
          <w:szCs w:val="24"/>
        </w:rPr>
        <w:t xml:space="preserve"> </w:t>
      </w:r>
    </w:p>
    <w:p w14:paraId="3D718972" w14:textId="3889397E" w:rsidR="008B10D5" w:rsidRPr="007334B2" w:rsidRDefault="00735A22" w:rsidP="00735A22">
      <w:pPr>
        <w:spacing w:before="240" w:line="360" w:lineRule="auto"/>
        <w:ind w:right="142"/>
        <w:rPr>
          <w:rFonts w:ascii="Arial" w:eastAsia="Verdana" w:hAnsi="Arial"/>
          <w:sz w:val="24"/>
          <w:szCs w:val="24"/>
        </w:rPr>
      </w:pPr>
      <w:r w:rsidRPr="007334B2">
        <w:rPr>
          <w:rFonts w:ascii="Arial" w:eastAsia="Verdana" w:hAnsi="Arial"/>
          <w:sz w:val="24"/>
          <w:szCs w:val="24"/>
        </w:rPr>
        <w:t xml:space="preserve"> </w:t>
      </w:r>
      <w:r w:rsidR="008B10D5" w:rsidRPr="007334B2">
        <w:rPr>
          <w:rFonts w:ascii="Arial" w:eastAsia="Verdana" w:hAnsi="Arial"/>
          <w:sz w:val="24"/>
          <w:szCs w:val="24"/>
        </w:rPr>
        <w:t xml:space="preserve">Analiza </w:t>
      </w:r>
      <w:proofErr w:type="spellStart"/>
      <w:r w:rsidR="008B10D5" w:rsidRPr="007334B2">
        <w:rPr>
          <w:rFonts w:ascii="Arial" w:eastAsia="Verdana" w:hAnsi="Arial"/>
          <w:sz w:val="24"/>
          <w:szCs w:val="24"/>
        </w:rPr>
        <w:t>ryzyk</w:t>
      </w:r>
      <w:proofErr w:type="spellEnd"/>
      <w:r w:rsidR="008B10D5" w:rsidRPr="007334B2">
        <w:rPr>
          <w:rFonts w:ascii="Arial" w:eastAsia="Verdana" w:hAnsi="Arial"/>
          <w:sz w:val="24"/>
          <w:szCs w:val="24"/>
        </w:rPr>
        <w:t xml:space="preserve"> związanych z zarządzaniem długiem opiera się na ich identyfikacji, kwalifikacji oraz ocenie i kontroli. Analiza dokonana w sposób prawidłowy pozwala utrzymać długoterminową równowagę finansową oraz ograniczyć ewentualne straty wynikające z operacji zaciągania długu.</w:t>
      </w:r>
    </w:p>
    <w:p w14:paraId="47B2B00F" w14:textId="77777777" w:rsidR="008B10D5" w:rsidRPr="007334B2" w:rsidRDefault="008B10D5" w:rsidP="00735A22">
      <w:pPr>
        <w:spacing w:line="360" w:lineRule="auto"/>
        <w:rPr>
          <w:rFonts w:ascii="Arial" w:eastAsia="Times New Roman" w:hAnsi="Arial"/>
          <w:sz w:val="24"/>
          <w:szCs w:val="24"/>
        </w:rPr>
      </w:pPr>
    </w:p>
    <w:p w14:paraId="2D18FA87" w14:textId="77777777" w:rsidR="008B10D5" w:rsidRPr="007334B2" w:rsidRDefault="008B10D5" w:rsidP="00735A22">
      <w:pPr>
        <w:spacing w:line="360" w:lineRule="auto"/>
        <w:ind w:right="213"/>
        <w:rPr>
          <w:rFonts w:ascii="Arial" w:eastAsia="Arial" w:hAnsi="Arial"/>
          <w:b/>
          <w:sz w:val="24"/>
          <w:szCs w:val="24"/>
        </w:rPr>
      </w:pPr>
      <w:r w:rsidRPr="007334B2">
        <w:rPr>
          <w:rFonts w:ascii="Arial" w:eastAsia="Arial" w:hAnsi="Arial"/>
          <w:b/>
          <w:sz w:val="24"/>
          <w:szCs w:val="24"/>
        </w:rPr>
        <w:t xml:space="preserve">Rodzaje </w:t>
      </w:r>
      <w:proofErr w:type="spellStart"/>
      <w:r w:rsidRPr="007334B2">
        <w:rPr>
          <w:rFonts w:ascii="Arial" w:eastAsia="Arial" w:hAnsi="Arial"/>
          <w:b/>
          <w:sz w:val="24"/>
          <w:szCs w:val="24"/>
        </w:rPr>
        <w:t>ryzyk</w:t>
      </w:r>
      <w:proofErr w:type="spellEnd"/>
    </w:p>
    <w:p w14:paraId="324FE708" w14:textId="77777777" w:rsidR="008B10D5" w:rsidRPr="007334B2" w:rsidRDefault="008B10D5" w:rsidP="00735A22">
      <w:pPr>
        <w:spacing w:before="240" w:line="360" w:lineRule="auto"/>
        <w:ind w:right="113"/>
        <w:rPr>
          <w:rFonts w:ascii="Arial" w:eastAsia="Arial" w:hAnsi="Arial"/>
          <w:sz w:val="24"/>
          <w:szCs w:val="24"/>
        </w:rPr>
      </w:pPr>
      <w:r w:rsidRPr="007334B2">
        <w:rPr>
          <w:rFonts w:ascii="Arial" w:eastAsia="Arial" w:hAnsi="Arial"/>
          <w:b/>
          <w:w w:val="97"/>
          <w:sz w:val="24"/>
          <w:szCs w:val="24"/>
        </w:rPr>
        <w:t xml:space="preserve">1. Ryzyko </w:t>
      </w:r>
      <w:r w:rsidRPr="007334B2">
        <w:rPr>
          <w:rFonts w:ascii="Arial" w:eastAsia="Arial" w:hAnsi="Arial"/>
          <w:b/>
          <w:sz w:val="24"/>
          <w:szCs w:val="24"/>
        </w:rPr>
        <w:t>refinansowania</w:t>
      </w:r>
      <w:r w:rsidRPr="007334B2">
        <w:rPr>
          <w:rFonts w:ascii="Arial" w:eastAsia="Arial" w:hAnsi="Arial"/>
          <w:b/>
          <w:w w:val="97"/>
          <w:sz w:val="24"/>
          <w:szCs w:val="24"/>
        </w:rPr>
        <w:t xml:space="preserve"> </w:t>
      </w:r>
      <w:r w:rsidRPr="007334B2">
        <w:rPr>
          <w:rFonts w:ascii="Arial" w:eastAsia="Arial" w:hAnsi="Arial"/>
          <w:b/>
          <w:w w:val="99"/>
          <w:sz w:val="24"/>
          <w:szCs w:val="24"/>
        </w:rPr>
        <w:t xml:space="preserve">długu – </w:t>
      </w:r>
      <w:r w:rsidRPr="007334B2">
        <w:rPr>
          <w:rFonts w:ascii="Arial" w:eastAsia="Arial" w:hAnsi="Arial"/>
          <w:w w:val="97"/>
          <w:sz w:val="24"/>
          <w:szCs w:val="24"/>
        </w:rPr>
        <w:t xml:space="preserve">występuje </w:t>
      </w:r>
      <w:r w:rsidRPr="007334B2">
        <w:rPr>
          <w:rFonts w:ascii="Arial" w:eastAsia="Arial" w:hAnsi="Arial"/>
          <w:w w:val="98"/>
          <w:sz w:val="24"/>
          <w:szCs w:val="24"/>
        </w:rPr>
        <w:t>w przypadku</w:t>
      </w:r>
      <w:r w:rsidRPr="007334B2">
        <w:rPr>
          <w:rFonts w:ascii="Arial" w:eastAsia="Arial" w:hAnsi="Arial"/>
          <w:w w:val="97"/>
          <w:sz w:val="24"/>
          <w:szCs w:val="24"/>
        </w:rPr>
        <w:t xml:space="preserve"> </w:t>
      </w:r>
      <w:r w:rsidRPr="007334B2">
        <w:rPr>
          <w:rFonts w:ascii="Arial" w:eastAsia="Arial" w:hAnsi="Arial"/>
          <w:sz w:val="24"/>
          <w:szCs w:val="24"/>
        </w:rPr>
        <w:t>konieczności</w:t>
      </w:r>
      <w:r w:rsidRPr="007334B2">
        <w:rPr>
          <w:rFonts w:ascii="Arial" w:eastAsia="Arial" w:hAnsi="Arial"/>
          <w:w w:val="97"/>
          <w:sz w:val="24"/>
          <w:szCs w:val="24"/>
        </w:rPr>
        <w:t xml:space="preserve"> </w:t>
      </w:r>
      <w:r w:rsidRPr="007334B2">
        <w:rPr>
          <w:rFonts w:ascii="Arial" w:eastAsia="Arial" w:hAnsi="Arial"/>
          <w:sz w:val="24"/>
          <w:szCs w:val="24"/>
        </w:rPr>
        <w:t>zaciągnięcia</w:t>
      </w:r>
      <w:r w:rsidRPr="007334B2">
        <w:rPr>
          <w:rFonts w:ascii="Arial" w:eastAsia="Arial" w:hAnsi="Arial"/>
          <w:w w:val="97"/>
          <w:sz w:val="24"/>
          <w:szCs w:val="24"/>
        </w:rPr>
        <w:t xml:space="preserve"> nowego </w:t>
      </w:r>
      <w:r w:rsidRPr="007334B2">
        <w:rPr>
          <w:rFonts w:ascii="Arial" w:eastAsia="Arial" w:hAnsi="Arial"/>
          <w:sz w:val="24"/>
          <w:szCs w:val="24"/>
        </w:rPr>
        <w:t>zobowiązania na</w:t>
      </w:r>
      <w:r w:rsidRPr="007334B2">
        <w:rPr>
          <w:rFonts w:ascii="Arial" w:eastAsia="Arial" w:hAnsi="Arial"/>
          <w:w w:val="97"/>
          <w:sz w:val="24"/>
          <w:szCs w:val="24"/>
        </w:rPr>
        <w:t xml:space="preserve"> pokrycie </w:t>
      </w:r>
      <w:r w:rsidRPr="007334B2">
        <w:rPr>
          <w:rFonts w:ascii="Arial" w:eastAsia="Arial" w:hAnsi="Arial"/>
          <w:sz w:val="24"/>
          <w:szCs w:val="24"/>
        </w:rPr>
        <w:t>zapadającego</w:t>
      </w:r>
      <w:r w:rsidRPr="007334B2">
        <w:rPr>
          <w:rFonts w:ascii="Arial" w:eastAsia="Arial" w:hAnsi="Arial"/>
          <w:w w:val="97"/>
          <w:sz w:val="24"/>
          <w:szCs w:val="24"/>
        </w:rPr>
        <w:t xml:space="preserve"> </w:t>
      </w:r>
      <w:r w:rsidRPr="007334B2">
        <w:rPr>
          <w:rFonts w:ascii="Arial" w:eastAsia="Arial" w:hAnsi="Arial"/>
          <w:sz w:val="24"/>
          <w:szCs w:val="24"/>
        </w:rPr>
        <w:t xml:space="preserve">długu/zobowiązania; </w:t>
      </w:r>
    </w:p>
    <w:p w14:paraId="5D308219" w14:textId="719C7683" w:rsidR="008B10D5" w:rsidRPr="007334B2" w:rsidRDefault="008B10D5" w:rsidP="00735A22">
      <w:pPr>
        <w:spacing w:line="360" w:lineRule="auto"/>
        <w:rPr>
          <w:rFonts w:ascii="Arial" w:eastAsia="Arial" w:hAnsi="Arial"/>
          <w:sz w:val="24"/>
          <w:szCs w:val="24"/>
        </w:rPr>
      </w:pPr>
      <w:r w:rsidRPr="007334B2">
        <w:rPr>
          <w:rFonts w:ascii="Arial" w:eastAsia="Arial" w:hAnsi="Arial"/>
          <w:b/>
          <w:bCs/>
          <w:sz w:val="24"/>
          <w:szCs w:val="24"/>
        </w:rPr>
        <w:lastRenderedPageBreak/>
        <w:t>2.</w:t>
      </w:r>
      <w:r w:rsidRPr="007334B2">
        <w:rPr>
          <w:rFonts w:ascii="Arial" w:eastAsia="Arial" w:hAnsi="Arial"/>
          <w:sz w:val="24"/>
          <w:szCs w:val="24"/>
        </w:rPr>
        <w:t xml:space="preserve"> </w:t>
      </w:r>
      <w:r w:rsidRPr="007334B2">
        <w:rPr>
          <w:rFonts w:ascii="Arial" w:eastAsia="Arial" w:hAnsi="Arial"/>
          <w:b/>
          <w:sz w:val="24"/>
          <w:szCs w:val="24"/>
        </w:rPr>
        <w:t xml:space="preserve">Ryzyko stopy </w:t>
      </w:r>
      <w:r w:rsidRPr="007334B2">
        <w:rPr>
          <w:rFonts w:ascii="Arial" w:eastAsia="Arial" w:hAnsi="Arial"/>
          <w:b/>
          <w:w w:val="99"/>
          <w:sz w:val="24"/>
          <w:szCs w:val="24"/>
        </w:rPr>
        <w:t xml:space="preserve">procentowej – </w:t>
      </w:r>
      <w:r w:rsidRPr="007334B2">
        <w:rPr>
          <w:rFonts w:ascii="Arial" w:eastAsia="Arial" w:hAnsi="Arial"/>
          <w:w w:val="99"/>
          <w:sz w:val="24"/>
          <w:szCs w:val="24"/>
        </w:rPr>
        <w:t>dotyczy poziomu</w:t>
      </w:r>
      <w:r w:rsidRPr="007334B2">
        <w:rPr>
          <w:rFonts w:ascii="Arial" w:eastAsia="Arial" w:hAnsi="Arial"/>
          <w:sz w:val="24"/>
          <w:szCs w:val="24"/>
        </w:rPr>
        <w:t xml:space="preserve"> i zmienności cen rynkowych stóp procentowych, </w:t>
      </w:r>
      <w:r w:rsidRPr="007334B2">
        <w:rPr>
          <w:rFonts w:ascii="Arial" w:eastAsia="Arial" w:hAnsi="Arial"/>
          <w:w w:val="99"/>
          <w:sz w:val="24"/>
          <w:szCs w:val="24"/>
        </w:rPr>
        <w:t>wzrost stóp</w:t>
      </w:r>
      <w:r w:rsidR="001736E1" w:rsidRPr="007334B2">
        <w:rPr>
          <w:rFonts w:ascii="Arial" w:eastAsia="Arial" w:hAnsi="Arial"/>
          <w:w w:val="99"/>
          <w:sz w:val="24"/>
          <w:szCs w:val="24"/>
        </w:rPr>
        <w:t xml:space="preserve"> </w:t>
      </w:r>
      <w:r w:rsidRPr="007334B2">
        <w:rPr>
          <w:rFonts w:ascii="Arial" w:eastAsia="Arial" w:hAnsi="Arial"/>
          <w:sz w:val="24"/>
          <w:szCs w:val="24"/>
        </w:rPr>
        <w:t xml:space="preserve">procentowych może </w:t>
      </w:r>
      <w:r w:rsidRPr="007334B2">
        <w:rPr>
          <w:rFonts w:ascii="Arial" w:eastAsia="Arial" w:hAnsi="Arial"/>
          <w:w w:val="99"/>
          <w:sz w:val="24"/>
          <w:szCs w:val="24"/>
        </w:rPr>
        <w:t>spowodować</w:t>
      </w:r>
      <w:r w:rsidRPr="007334B2">
        <w:rPr>
          <w:rFonts w:ascii="Arial" w:eastAsia="Arial" w:hAnsi="Arial"/>
          <w:sz w:val="24"/>
          <w:szCs w:val="24"/>
        </w:rPr>
        <w:t xml:space="preserve"> </w:t>
      </w:r>
      <w:r w:rsidRPr="007334B2">
        <w:rPr>
          <w:rFonts w:ascii="Arial" w:eastAsia="Arial" w:hAnsi="Arial"/>
          <w:w w:val="99"/>
          <w:sz w:val="24"/>
          <w:szCs w:val="24"/>
        </w:rPr>
        <w:t>znaczny wzrost</w:t>
      </w:r>
      <w:r w:rsidRPr="007334B2">
        <w:rPr>
          <w:rFonts w:ascii="Arial" w:eastAsia="Arial" w:hAnsi="Arial"/>
          <w:sz w:val="24"/>
          <w:szCs w:val="24"/>
        </w:rPr>
        <w:t xml:space="preserve"> </w:t>
      </w:r>
      <w:r w:rsidRPr="007334B2">
        <w:rPr>
          <w:rFonts w:ascii="Arial" w:eastAsia="Arial" w:hAnsi="Arial"/>
          <w:w w:val="98"/>
          <w:sz w:val="24"/>
          <w:szCs w:val="24"/>
        </w:rPr>
        <w:t>kosztu obsługi</w:t>
      </w:r>
      <w:r w:rsidRPr="007334B2">
        <w:rPr>
          <w:rFonts w:ascii="Arial" w:eastAsia="Arial" w:hAnsi="Arial"/>
          <w:sz w:val="24"/>
          <w:szCs w:val="24"/>
        </w:rPr>
        <w:t xml:space="preserve"> długu;</w:t>
      </w:r>
    </w:p>
    <w:p w14:paraId="28FBEE6C" w14:textId="77777777" w:rsidR="008B10D5" w:rsidRPr="007334B2" w:rsidRDefault="008B10D5" w:rsidP="00735A22">
      <w:pPr>
        <w:spacing w:line="360" w:lineRule="auto"/>
        <w:rPr>
          <w:rFonts w:ascii="Arial" w:eastAsia="Arial" w:hAnsi="Arial"/>
          <w:sz w:val="24"/>
          <w:szCs w:val="24"/>
        </w:rPr>
      </w:pPr>
      <w:r w:rsidRPr="007334B2">
        <w:rPr>
          <w:rFonts w:ascii="Arial" w:eastAsia="Arial" w:hAnsi="Arial"/>
          <w:b/>
          <w:bCs/>
          <w:sz w:val="24"/>
          <w:szCs w:val="24"/>
        </w:rPr>
        <w:t>3.</w:t>
      </w:r>
      <w:r w:rsidRPr="007334B2">
        <w:rPr>
          <w:rFonts w:ascii="Arial" w:eastAsia="Arial" w:hAnsi="Arial"/>
          <w:sz w:val="24"/>
          <w:szCs w:val="24"/>
        </w:rPr>
        <w:t xml:space="preserve"> </w:t>
      </w:r>
      <w:r w:rsidRPr="007334B2">
        <w:rPr>
          <w:rFonts w:ascii="Arial" w:eastAsia="Arial" w:hAnsi="Arial"/>
          <w:b/>
          <w:w w:val="99"/>
          <w:sz w:val="24"/>
          <w:szCs w:val="24"/>
        </w:rPr>
        <w:t xml:space="preserve">Ryzyko utraty płynności – </w:t>
      </w:r>
      <w:r w:rsidRPr="007334B2">
        <w:rPr>
          <w:rFonts w:ascii="Arial" w:eastAsia="Arial" w:hAnsi="Arial"/>
          <w:sz w:val="24"/>
          <w:szCs w:val="24"/>
        </w:rPr>
        <w:t>dotyczy sytuacji,</w:t>
      </w:r>
      <w:r w:rsidRPr="007334B2">
        <w:rPr>
          <w:rFonts w:ascii="Arial" w:eastAsia="Arial" w:hAnsi="Arial"/>
          <w:w w:val="99"/>
          <w:sz w:val="24"/>
          <w:szCs w:val="24"/>
        </w:rPr>
        <w:t xml:space="preserve"> w której istnieje </w:t>
      </w:r>
      <w:r w:rsidRPr="007334B2">
        <w:rPr>
          <w:rFonts w:ascii="Arial" w:eastAsia="Arial" w:hAnsi="Arial"/>
          <w:sz w:val="24"/>
          <w:szCs w:val="24"/>
        </w:rPr>
        <w:t>niebezpieczeństwo</w:t>
      </w:r>
      <w:r w:rsidRPr="007334B2">
        <w:rPr>
          <w:rFonts w:ascii="Arial" w:eastAsia="Arial" w:hAnsi="Arial"/>
          <w:w w:val="99"/>
          <w:sz w:val="24"/>
          <w:szCs w:val="24"/>
        </w:rPr>
        <w:t xml:space="preserve"> </w:t>
      </w:r>
      <w:r w:rsidRPr="007334B2">
        <w:rPr>
          <w:rFonts w:ascii="Arial" w:eastAsia="Arial" w:hAnsi="Arial"/>
          <w:sz w:val="24"/>
          <w:szCs w:val="24"/>
        </w:rPr>
        <w:t>utraty możliwości</w:t>
      </w:r>
      <w:r w:rsidRPr="007334B2">
        <w:rPr>
          <w:rFonts w:ascii="Arial" w:eastAsia="Arial" w:hAnsi="Arial"/>
          <w:w w:val="99"/>
          <w:sz w:val="24"/>
          <w:szCs w:val="24"/>
        </w:rPr>
        <w:t xml:space="preserve"> </w:t>
      </w:r>
      <w:r w:rsidRPr="007334B2">
        <w:rPr>
          <w:rFonts w:ascii="Arial" w:eastAsia="Arial" w:hAnsi="Arial"/>
          <w:w w:val="98"/>
          <w:sz w:val="24"/>
          <w:szCs w:val="24"/>
        </w:rPr>
        <w:t>finansowania</w:t>
      </w:r>
      <w:r w:rsidRPr="007334B2">
        <w:rPr>
          <w:rFonts w:ascii="Arial" w:eastAsia="Arial" w:hAnsi="Arial"/>
          <w:w w:val="99"/>
          <w:sz w:val="24"/>
          <w:szCs w:val="24"/>
        </w:rPr>
        <w:t xml:space="preserve"> bieżącej działalności jednostki, braku </w:t>
      </w:r>
      <w:r w:rsidRPr="007334B2">
        <w:rPr>
          <w:rFonts w:ascii="Arial" w:eastAsia="Arial" w:hAnsi="Arial"/>
          <w:sz w:val="24"/>
          <w:szCs w:val="24"/>
        </w:rPr>
        <w:t>dochodów, trudności</w:t>
      </w:r>
      <w:r w:rsidRPr="007334B2">
        <w:rPr>
          <w:rFonts w:ascii="Arial" w:eastAsia="Arial" w:hAnsi="Arial"/>
          <w:w w:val="99"/>
          <w:sz w:val="24"/>
          <w:szCs w:val="24"/>
        </w:rPr>
        <w:t xml:space="preserve"> w pozyskaniu </w:t>
      </w:r>
      <w:r w:rsidRPr="007334B2">
        <w:rPr>
          <w:rFonts w:ascii="Arial" w:eastAsia="Arial" w:hAnsi="Arial"/>
          <w:w w:val="98"/>
          <w:sz w:val="24"/>
          <w:szCs w:val="24"/>
        </w:rPr>
        <w:t>krótkoterminowego</w:t>
      </w:r>
      <w:r w:rsidRPr="007334B2">
        <w:rPr>
          <w:rFonts w:ascii="Arial" w:eastAsia="Arial" w:hAnsi="Arial"/>
          <w:w w:val="99"/>
          <w:sz w:val="24"/>
          <w:szCs w:val="24"/>
        </w:rPr>
        <w:t xml:space="preserve"> </w:t>
      </w:r>
      <w:r w:rsidRPr="007334B2">
        <w:rPr>
          <w:rFonts w:ascii="Arial" w:eastAsia="Arial" w:hAnsi="Arial"/>
          <w:sz w:val="24"/>
          <w:szCs w:val="24"/>
        </w:rPr>
        <w:t xml:space="preserve">zadłużenia; </w:t>
      </w:r>
    </w:p>
    <w:p w14:paraId="63F669F1" w14:textId="1CBB3840" w:rsidR="008B10D5" w:rsidRPr="007334B2" w:rsidRDefault="008B10D5" w:rsidP="00735A22">
      <w:pPr>
        <w:spacing w:line="360" w:lineRule="auto"/>
        <w:rPr>
          <w:rFonts w:ascii="Arial" w:eastAsia="Arial" w:hAnsi="Arial"/>
          <w:sz w:val="24"/>
          <w:szCs w:val="24"/>
        </w:rPr>
      </w:pPr>
      <w:r w:rsidRPr="007334B2">
        <w:rPr>
          <w:rFonts w:ascii="Arial" w:eastAsia="Arial" w:hAnsi="Arial"/>
          <w:b/>
          <w:bCs/>
          <w:sz w:val="24"/>
          <w:szCs w:val="24"/>
        </w:rPr>
        <w:t>4.</w:t>
      </w:r>
      <w:r w:rsidRPr="007334B2">
        <w:rPr>
          <w:rFonts w:ascii="Arial" w:eastAsia="Arial" w:hAnsi="Arial"/>
          <w:sz w:val="24"/>
          <w:szCs w:val="24"/>
        </w:rPr>
        <w:t xml:space="preserve"> </w:t>
      </w:r>
      <w:r w:rsidRPr="007334B2">
        <w:rPr>
          <w:rFonts w:ascii="Arial" w:eastAsia="Arial" w:hAnsi="Arial"/>
          <w:b/>
          <w:sz w:val="24"/>
          <w:szCs w:val="24"/>
        </w:rPr>
        <w:t xml:space="preserve">Ryzyko </w:t>
      </w:r>
      <w:r w:rsidRPr="007334B2">
        <w:rPr>
          <w:rFonts w:ascii="Arial" w:eastAsia="Arial" w:hAnsi="Arial"/>
          <w:b/>
          <w:w w:val="98"/>
          <w:sz w:val="24"/>
          <w:szCs w:val="24"/>
        </w:rPr>
        <w:t xml:space="preserve">budżetu – </w:t>
      </w:r>
      <w:r w:rsidRPr="007334B2">
        <w:rPr>
          <w:rFonts w:ascii="Arial" w:eastAsia="Arial" w:hAnsi="Arial"/>
          <w:w w:val="99"/>
          <w:sz w:val="24"/>
          <w:szCs w:val="24"/>
        </w:rPr>
        <w:t>ryzyko związane z realizacją</w:t>
      </w:r>
      <w:r w:rsidRPr="007334B2">
        <w:rPr>
          <w:rFonts w:ascii="Arial" w:eastAsia="Arial" w:hAnsi="Arial"/>
          <w:b/>
          <w:sz w:val="24"/>
          <w:szCs w:val="24"/>
        </w:rPr>
        <w:t xml:space="preserve"> </w:t>
      </w:r>
      <w:r w:rsidRPr="007334B2">
        <w:rPr>
          <w:rFonts w:ascii="Arial" w:eastAsia="Arial" w:hAnsi="Arial"/>
          <w:w w:val="98"/>
          <w:sz w:val="24"/>
          <w:szCs w:val="24"/>
        </w:rPr>
        <w:t>dochodów</w:t>
      </w:r>
      <w:r w:rsidRPr="007334B2">
        <w:rPr>
          <w:rFonts w:ascii="Arial" w:eastAsia="Arial" w:hAnsi="Arial"/>
          <w:b/>
          <w:sz w:val="24"/>
          <w:szCs w:val="24"/>
        </w:rPr>
        <w:t xml:space="preserve"> </w:t>
      </w:r>
      <w:r w:rsidRPr="007334B2">
        <w:rPr>
          <w:rFonts w:ascii="Arial" w:eastAsia="Arial" w:hAnsi="Arial"/>
          <w:sz w:val="24"/>
          <w:szCs w:val="24"/>
        </w:rPr>
        <w:t>i wydatków,</w:t>
      </w:r>
      <w:r w:rsidRPr="007334B2">
        <w:rPr>
          <w:rFonts w:ascii="Arial" w:eastAsia="Arial" w:hAnsi="Arial"/>
          <w:b/>
          <w:sz w:val="24"/>
          <w:szCs w:val="24"/>
        </w:rPr>
        <w:t xml:space="preserve"> </w:t>
      </w:r>
      <w:r w:rsidRPr="007334B2">
        <w:rPr>
          <w:rFonts w:ascii="Arial" w:eastAsia="Arial" w:hAnsi="Arial"/>
          <w:sz w:val="24"/>
          <w:szCs w:val="24"/>
        </w:rPr>
        <w:t>zagrożenie</w:t>
      </w:r>
      <w:r w:rsidRPr="007334B2">
        <w:rPr>
          <w:rFonts w:ascii="Arial" w:eastAsia="Arial" w:hAnsi="Arial"/>
          <w:b/>
          <w:sz w:val="24"/>
          <w:szCs w:val="24"/>
        </w:rPr>
        <w:t xml:space="preserve"> </w:t>
      </w:r>
      <w:r w:rsidRPr="007334B2">
        <w:rPr>
          <w:rFonts w:ascii="Arial" w:eastAsia="Arial" w:hAnsi="Arial"/>
          <w:sz w:val="24"/>
          <w:szCs w:val="24"/>
        </w:rPr>
        <w:t>przekroczenia ustawowych wskaźników;</w:t>
      </w:r>
      <w:r w:rsidR="00735A22" w:rsidRPr="007334B2">
        <w:rPr>
          <w:rFonts w:ascii="Arial" w:eastAsia="Arial" w:hAnsi="Arial"/>
          <w:sz w:val="24"/>
          <w:szCs w:val="24"/>
        </w:rPr>
        <w:t xml:space="preserve"> </w:t>
      </w:r>
    </w:p>
    <w:p w14:paraId="7F4B320A" w14:textId="77777777" w:rsidR="008B10D5" w:rsidRPr="007334B2" w:rsidRDefault="008B10D5" w:rsidP="00735A22">
      <w:pPr>
        <w:spacing w:line="360" w:lineRule="auto"/>
        <w:rPr>
          <w:rFonts w:ascii="Arial" w:eastAsia="Arial" w:hAnsi="Arial"/>
          <w:sz w:val="24"/>
          <w:szCs w:val="24"/>
        </w:rPr>
      </w:pPr>
      <w:r w:rsidRPr="007334B2">
        <w:rPr>
          <w:rFonts w:ascii="Arial" w:eastAsia="Arial" w:hAnsi="Arial"/>
          <w:b/>
          <w:bCs/>
          <w:sz w:val="24"/>
          <w:szCs w:val="24"/>
        </w:rPr>
        <w:t>5.</w:t>
      </w:r>
      <w:r w:rsidRPr="007334B2">
        <w:rPr>
          <w:rFonts w:ascii="Arial" w:eastAsia="Arial" w:hAnsi="Arial"/>
          <w:sz w:val="24"/>
          <w:szCs w:val="24"/>
        </w:rPr>
        <w:t xml:space="preserve"> </w:t>
      </w:r>
      <w:r w:rsidRPr="007334B2">
        <w:rPr>
          <w:rFonts w:ascii="Arial" w:eastAsia="Arial" w:hAnsi="Arial"/>
          <w:b/>
          <w:w w:val="98"/>
          <w:sz w:val="24"/>
          <w:szCs w:val="24"/>
        </w:rPr>
        <w:t xml:space="preserve">Ryzyko </w:t>
      </w:r>
      <w:r w:rsidRPr="007334B2">
        <w:rPr>
          <w:rFonts w:ascii="Arial" w:eastAsia="Arial" w:hAnsi="Arial"/>
          <w:b/>
          <w:sz w:val="24"/>
          <w:szCs w:val="24"/>
        </w:rPr>
        <w:t xml:space="preserve">kursowe - </w:t>
      </w:r>
      <w:r w:rsidRPr="007334B2">
        <w:rPr>
          <w:rFonts w:ascii="Arial" w:eastAsia="Arial" w:hAnsi="Arial"/>
          <w:sz w:val="24"/>
          <w:szCs w:val="24"/>
        </w:rPr>
        <w:t xml:space="preserve">ryzyko związane ze </w:t>
      </w:r>
      <w:r w:rsidRPr="007334B2">
        <w:rPr>
          <w:rFonts w:ascii="Arial" w:eastAsia="Arial" w:hAnsi="Arial"/>
          <w:w w:val="99"/>
          <w:sz w:val="24"/>
          <w:szCs w:val="24"/>
        </w:rPr>
        <w:t>zmiennością</w:t>
      </w:r>
      <w:r w:rsidRPr="007334B2">
        <w:rPr>
          <w:rFonts w:ascii="Arial" w:eastAsia="Arial" w:hAnsi="Arial"/>
          <w:sz w:val="24"/>
          <w:szCs w:val="24"/>
        </w:rPr>
        <w:t xml:space="preserve"> kursów </w:t>
      </w:r>
      <w:r w:rsidRPr="007334B2">
        <w:rPr>
          <w:rFonts w:ascii="Arial" w:eastAsia="Arial" w:hAnsi="Arial"/>
          <w:w w:val="97"/>
          <w:sz w:val="24"/>
          <w:szCs w:val="24"/>
        </w:rPr>
        <w:t>walutowych;</w:t>
      </w:r>
    </w:p>
    <w:p w14:paraId="5BDD35DD" w14:textId="4924C9AF" w:rsidR="008B10D5" w:rsidRPr="007334B2" w:rsidRDefault="008B10D5" w:rsidP="00735A22">
      <w:pPr>
        <w:spacing w:line="360" w:lineRule="auto"/>
        <w:rPr>
          <w:rFonts w:ascii="Arial" w:eastAsia="Arial" w:hAnsi="Arial"/>
          <w:sz w:val="24"/>
          <w:szCs w:val="24"/>
        </w:rPr>
      </w:pPr>
      <w:r w:rsidRPr="007334B2">
        <w:rPr>
          <w:rFonts w:ascii="Arial" w:eastAsia="Arial" w:hAnsi="Arial"/>
          <w:b/>
          <w:sz w:val="24"/>
          <w:szCs w:val="24"/>
        </w:rPr>
        <w:t xml:space="preserve">6. Ryzyko </w:t>
      </w:r>
      <w:r w:rsidRPr="007334B2">
        <w:rPr>
          <w:rFonts w:ascii="Arial" w:eastAsia="Arial" w:hAnsi="Arial"/>
          <w:b/>
          <w:w w:val="99"/>
          <w:sz w:val="24"/>
          <w:szCs w:val="24"/>
        </w:rPr>
        <w:t>organizacyjno-</w:t>
      </w:r>
      <w:r w:rsidRPr="007334B2">
        <w:rPr>
          <w:rFonts w:ascii="Arial" w:eastAsia="Arial" w:hAnsi="Arial"/>
          <w:b/>
          <w:sz w:val="24"/>
          <w:szCs w:val="24"/>
        </w:rPr>
        <w:t xml:space="preserve">prawne – </w:t>
      </w:r>
      <w:r w:rsidRPr="007334B2">
        <w:rPr>
          <w:rFonts w:ascii="Arial" w:eastAsia="Arial" w:hAnsi="Arial"/>
          <w:sz w:val="24"/>
          <w:szCs w:val="24"/>
        </w:rPr>
        <w:t xml:space="preserve">wynikające z błędów w trakcie </w:t>
      </w:r>
      <w:r w:rsidRPr="007334B2">
        <w:rPr>
          <w:rFonts w:ascii="Arial" w:eastAsia="Arial" w:hAnsi="Arial"/>
          <w:w w:val="99"/>
          <w:sz w:val="24"/>
          <w:szCs w:val="24"/>
        </w:rPr>
        <w:t>realizacji</w:t>
      </w:r>
      <w:r w:rsidRPr="007334B2">
        <w:rPr>
          <w:rFonts w:ascii="Arial" w:eastAsia="Arial" w:hAnsi="Arial"/>
          <w:sz w:val="24"/>
          <w:szCs w:val="24"/>
        </w:rPr>
        <w:t xml:space="preserve"> </w:t>
      </w:r>
      <w:r w:rsidRPr="007334B2">
        <w:rPr>
          <w:rFonts w:ascii="Arial" w:eastAsia="Arial" w:hAnsi="Arial"/>
          <w:w w:val="99"/>
          <w:sz w:val="24"/>
          <w:szCs w:val="24"/>
        </w:rPr>
        <w:t>transakcji,</w:t>
      </w:r>
      <w:r w:rsidR="00735A22" w:rsidRPr="007334B2">
        <w:rPr>
          <w:rFonts w:ascii="Arial" w:eastAsia="Arial" w:hAnsi="Arial"/>
          <w:sz w:val="24"/>
          <w:szCs w:val="24"/>
        </w:rPr>
        <w:t xml:space="preserve"> </w:t>
      </w:r>
      <w:r w:rsidRPr="007334B2">
        <w:rPr>
          <w:rFonts w:ascii="Arial" w:eastAsia="Arial" w:hAnsi="Arial"/>
          <w:sz w:val="24"/>
          <w:szCs w:val="24"/>
        </w:rPr>
        <w:t>w systemach lub</w:t>
      </w:r>
      <w:r w:rsidR="005B30AC" w:rsidRPr="007334B2">
        <w:rPr>
          <w:rFonts w:ascii="Arial" w:eastAsia="Arial" w:hAnsi="Arial"/>
          <w:sz w:val="24"/>
          <w:szCs w:val="24"/>
        </w:rPr>
        <w:t xml:space="preserve"> </w:t>
      </w:r>
      <w:r w:rsidRPr="007334B2">
        <w:rPr>
          <w:rFonts w:ascii="Arial" w:eastAsia="Arial" w:hAnsi="Arial"/>
          <w:w w:val="98"/>
          <w:sz w:val="24"/>
          <w:szCs w:val="24"/>
        </w:rPr>
        <w:t xml:space="preserve">usługach, </w:t>
      </w:r>
      <w:r w:rsidRPr="007334B2">
        <w:rPr>
          <w:rFonts w:ascii="Arial" w:eastAsia="Arial" w:hAnsi="Arial"/>
          <w:sz w:val="24"/>
          <w:szCs w:val="24"/>
        </w:rPr>
        <w:t>wynikające ze</w:t>
      </w:r>
      <w:r w:rsidRPr="007334B2">
        <w:rPr>
          <w:rFonts w:ascii="Arial" w:eastAsia="Arial" w:hAnsi="Arial"/>
          <w:w w:val="98"/>
          <w:sz w:val="24"/>
          <w:szCs w:val="24"/>
        </w:rPr>
        <w:t xml:space="preserve"> </w:t>
      </w:r>
      <w:r w:rsidRPr="007334B2">
        <w:rPr>
          <w:rFonts w:ascii="Arial" w:eastAsia="Arial" w:hAnsi="Arial"/>
          <w:w w:val="99"/>
          <w:sz w:val="24"/>
          <w:szCs w:val="24"/>
        </w:rPr>
        <w:t>zmiany przepisów</w:t>
      </w:r>
      <w:r w:rsidRPr="007334B2">
        <w:rPr>
          <w:rFonts w:ascii="Arial" w:eastAsia="Arial" w:hAnsi="Arial"/>
          <w:w w:val="98"/>
          <w:sz w:val="24"/>
          <w:szCs w:val="24"/>
        </w:rPr>
        <w:t xml:space="preserve"> </w:t>
      </w:r>
      <w:r w:rsidRPr="007334B2">
        <w:rPr>
          <w:rFonts w:ascii="Arial" w:eastAsia="Arial" w:hAnsi="Arial"/>
          <w:w w:val="99"/>
          <w:sz w:val="24"/>
          <w:szCs w:val="24"/>
        </w:rPr>
        <w:t>prawnych oraz</w:t>
      </w:r>
      <w:r w:rsidRPr="007334B2">
        <w:rPr>
          <w:rFonts w:ascii="Arial" w:eastAsia="Arial" w:hAnsi="Arial"/>
          <w:w w:val="98"/>
          <w:sz w:val="24"/>
          <w:szCs w:val="24"/>
        </w:rPr>
        <w:t xml:space="preserve"> </w:t>
      </w:r>
      <w:r w:rsidRPr="007334B2">
        <w:rPr>
          <w:rFonts w:ascii="Arial" w:eastAsia="Arial" w:hAnsi="Arial"/>
          <w:sz w:val="24"/>
          <w:szCs w:val="24"/>
        </w:rPr>
        <w:t>naruszenia</w:t>
      </w:r>
      <w:r w:rsidRPr="007334B2">
        <w:rPr>
          <w:rFonts w:ascii="Arial" w:eastAsia="Arial" w:hAnsi="Arial"/>
          <w:w w:val="98"/>
          <w:sz w:val="24"/>
          <w:szCs w:val="24"/>
        </w:rPr>
        <w:t xml:space="preserve"> </w:t>
      </w:r>
      <w:r w:rsidRPr="007334B2">
        <w:rPr>
          <w:rFonts w:ascii="Arial" w:eastAsia="Arial" w:hAnsi="Arial"/>
          <w:sz w:val="24"/>
          <w:szCs w:val="24"/>
        </w:rPr>
        <w:t>bezpieczeństwa</w:t>
      </w:r>
      <w:r w:rsidR="00F84AAC" w:rsidRPr="007334B2">
        <w:rPr>
          <w:rFonts w:ascii="Arial" w:eastAsia="Arial" w:hAnsi="Arial"/>
          <w:sz w:val="24"/>
          <w:szCs w:val="24"/>
        </w:rPr>
        <w:t>.</w:t>
      </w:r>
    </w:p>
    <w:p w14:paraId="50685406" w14:textId="77777777" w:rsidR="008B10D5" w:rsidRPr="007334B2" w:rsidRDefault="008B10D5" w:rsidP="00735A22">
      <w:pPr>
        <w:spacing w:line="360" w:lineRule="auto"/>
        <w:rPr>
          <w:rFonts w:ascii="Arial" w:eastAsia="Times New Roman" w:hAnsi="Arial"/>
          <w:sz w:val="24"/>
          <w:szCs w:val="24"/>
        </w:rPr>
      </w:pPr>
    </w:p>
    <w:p w14:paraId="50E6FE0B" w14:textId="2B8D27DC" w:rsidR="008B10D5" w:rsidRPr="007334B2" w:rsidRDefault="00735A22" w:rsidP="00735A22">
      <w:pPr>
        <w:spacing w:line="360" w:lineRule="auto"/>
        <w:ind w:left="7" w:right="140"/>
        <w:rPr>
          <w:rFonts w:ascii="Arial" w:eastAsia="Verdana" w:hAnsi="Arial"/>
          <w:sz w:val="24"/>
          <w:szCs w:val="24"/>
        </w:rPr>
      </w:pPr>
      <w:r w:rsidRPr="007334B2">
        <w:rPr>
          <w:rFonts w:ascii="Arial" w:eastAsia="Verdana" w:hAnsi="Arial"/>
          <w:sz w:val="24"/>
          <w:szCs w:val="24"/>
        </w:rPr>
        <w:t xml:space="preserve"> </w:t>
      </w:r>
      <w:r w:rsidR="008B10D5" w:rsidRPr="007334B2">
        <w:rPr>
          <w:rFonts w:ascii="Arial" w:eastAsia="Verdana" w:hAnsi="Arial"/>
          <w:sz w:val="24"/>
          <w:szCs w:val="24"/>
        </w:rPr>
        <w:t xml:space="preserve">Określając miary zidentyfikowanych </w:t>
      </w:r>
      <w:proofErr w:type="spellStart"/>
      <w:r w:rsidR="008B10D5" w:rsidRPr="007334B2">
        <w:rPr>
          <w:rFonts w:ascii="Arial" w:eastAsia="Verdana" w:hAnsi="Arial"/>
          <w:sz w:val="24"/>
          <w:szCs w:val="24"/>
        </w:rPr>
        <w:t>ryzyk</w:t>
      </w:r>
      <w:proofErr w:type="spellEnd"/>
      <w:r w:rsidR="008B10D5" w:rsidRPr="007334B2">
        <w:rPr>
          <w:rFonts w:ascii="Arial" w:eastAsia="Verdana" w:hAnsi="Arial"/>
          <w:sz w:val="24"/>
          <w:szCs w:val="24"/>
        </w:rPr>
        <w:t xml:space="preserve"> Miasto stosuje odpowiednie instrumenty zarządzania ryzykiem.</w:t>
      </w:r>
    </w:p>
    <w:p w14:paraId="48ACCE74" w14:textId="77777777" w:rsidR="008B10D5" w:rsidRPr="007334B2" w:rsidRDefault="008B10D5" w:rsidP="00735A22">
      <w:pPr>
        <w:spacing w:line="360" w:lineRule="auto"/>
        <w:rPr>
          <w:rFonts w:ascii="Arial" w:eastAsia="Times New Roman" w:hAnsi="Arial"/>
          <w:sz w:val="24"/>
          <w:szCs w:val="24"/>
        </w:rPr>
      </w:pPr>
    </w:p>
    <w:p w14:paraId="45D67153" w14:textId="767AEFFC" w:rsidR="008B10D5" w:rsidRPr="00A662E8" w:rsidRDefault="008B10D5" w:rsidP="00735A22">
      <w:pPr>
        <w:spacing w:line="360" w:lineRule="auto"/>
        <w:ind w:left="7"/>
        <w:rPr>
          <w:rFonts w:ascii="Arial" w:eastAsia="Verdana" w:hAnsi="Arial"/>
          <w:b/>
          <w:sz w:val="24"/>
          <w:szCs w:val="24"/>
        </w:rPr>
      </w:pPr>
      <w:r w:rsidRPr="00A662E8">
        <w:rPr>
          <w:rFonts w:ascii="Arial" w:eastAsia="Verdana" w:hAnsi="Arial"/>
          <w:b/>
          <w:sz w:val="24"/>
          <w:szCs w:val="24"/>
        </w:rPr>
        <w:t>Ryzyko refinansowania długu</w:t>
      </w:r>
    </w:p>
    <w:p w14:paraId="4EC65019" w14:textId="77777777" w:rsidR="008B10D5" w:rsidRPr="007334B2" w:rsidRDefault="008B10D5" w:rsidP="00735A22">
      <w:pPr>
        <w:numPr>
          <w:ilvl w:val="0"/>
          <w:numId w:val="3"/>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miary ryzyka:</w:t>
      </w:r>
    </w:p>
    <w:p w14:paraId="0EAD583E" w14:textId="77777777" w:rsidR="00A662E8" w:rsidRPr="00A662E8" w:rsidRDefault="008B10D5" w:rsidP="00A662E8">
      <w:pPr>
        <w:pStyle w:val="Akapitzlist"/>
        <w:numPr>
          <w:ilvl w:val="0"/>
          <w:numId w:val="34"/>
        </w:numPr>
        <w:tabs>
          <w:tab w:val="left" w:pos="729"/>
        </w:tabs>
        <w:spacing w:line="360" w:lineRule="auto"/>
        <w:ind w:right="140"/>
        <w:rPr>
          <w:rFonts w:ascii="Arial" w:eastAsia="Arial" w:hAnsi="Arial"/>
          <w:sz w:val="24"/>
          <w:szCs w:val="24"/>
        </w:rPr>
      </w:pPr>
      <w:r w:rsidRPr="00A662E8">
        <w:rPr>
          <w:rFonts w:ascii="Arial" w:eastAsia="Verdana" w:hAnsi="Arial"/>
          <w:sz w:val="24"/>
          <w:szCs w:val="24"/>
        </w:rPr>
        <w:t>średnia zapadalność długu wyrażona w latach (ATM – miara ryzyka refinansowania długu – im termin wykupu jest bardziej odległy, tym niższe ryzyko jego refinansowania),</w:t>
      </w:r>
    </w:p>
    <w:p w14:paraId="1A17C657" w14:textId="77777777" w:rsidR="00A662E8" w:rsidRPr="00A662E8" w:rsidRDefault="008B10D5" w:rsidP="00A662E8">
      <w:pPr>
        <w:pStyle w:val="Akapitzlist"/>
        <w:numPr>
          <w:ilvl w:val="0"/>
          <w:numId w:val="34"/>
        </w:numPr>
        <w:tabs>
          <w:tab w:val="left" w:pos="729"/>
        </w:tabs>
        <w:spacing w:line="360" w:lineRule="auto"/>
        <w:ind w:right="140"/>
        <w:rPr>
          <w:rFonts w:ascii="Arial" w:eastAsia="Arial" w:hAnsi="Arial"/>
          <w:sz w:val="24"/>
          <w:szCs w:val="24"/>
        </w:rPr>
      </w:pPr>
      <w:r w:rsidRPr="00A662E8">
        <w:rPr>
          <w:rFonts w:ascii="Arial" w:eastAsia="Verdana" w:hAnsi="Arial"/>
          <w:sz w:val="24"/>
          <w:szCs w:val="24"/>
        </w:rPr>
        <w:t>udział długu zapadającego w ciągu roku w całości kwoty długu,</w:t>
      </w:r>
    </w:p>
    <w:p w14:paraId="3FF08BE8" w14:textId="7E0B7F18" w:rsidR="008B10D5" w:rsidRPr="00A662E8" w:rsidRDefault="008B10D5" w:rsidP="00A662E8">
      <w:pPr>
        <w:pStyle w:val="Akapitzlist"/>
        <w:numPr>
          <w:ilvl w:val="0"/>
          <w:numId w:val="34"/>
        </w:numPr>
        <w:tabs>
          <w:tab w:val="left" w:pos="729"/>
        </w:tabs>
        <w:spacing w:line="360" w:lineRule="auto"/>
        <w:ind w:right="140"/>
        <w:rPr>
          <w:rFonts w:ascii="Arial" w:eastAsia="Arial" w:hAnsi="Arial"/>
          <w:sz w:val="24"/>
          <w:szCs w:val="24"/>
        </w:rPr>
      </w:pPr>
      <w:r w:rsidRPr="00A662E8">
        <w:rPr>
          <w:rFonts w:ascii="Arial" w:eastAsia="Verdana" w:hAnsi="Arial"/>
          <w:sz w:val="24"/>
          <w:szCs w:val="24"/>
        </w:rPr>
        <w:t>struktura zapadalności długu,</w:t>
      </w:r>
    </w:p>
    <w:p w14:paraId="0A34201F" w14:textId="77777777" w:rsidR="008B10D5" w:rsidRPr="007334B2" w:rsidRDefault="008B10D5" w:rsidP="00735A22">
      <w:pPr>
        <w:numPr>
          <w:ilvl w:val="0"/>
          <w:numId w:val="3"/>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instrumenty zarządzania:</w:t>
      </w:r>
    </w:p>
    <w:p w14:paraId="3181F179" w14:textId="77777777" w:rsidR="002B0E5E" w:rsidRPr="002B0E5E" w:rsidRDefault="008B10D5" w:rsidP="002B0E5E">
      <w:pPr>
        <w:pStyle w:val="Akapitzlist"/>
        <w:numPr>
          <w:ilvl w:val="0"/>
          <w:numId w:val="35"/>
        </w:numPr>
        <w:tabs>
          <w:tab w:val="left" w:pos="729"/>
        </w:tabs>
        <w:spacing w:line="360" w:lineRule="auto"/>
        <w:ind w:right="160"/>
        <w:rPr>
          <w:rFonts w:ascii="Arial" w:eastAsia="Arial" w:hAnsi="Arial"/>
          <w:sz w:val="24"/>
          <w:szCs w:val="24"/>
        </w:rPr>
      </w:pPr>
      <w:r w:rsidRPr="002B0E5E">
        <w:rPr>
          <w:rFonts w:ascii="Arial" w:eastAsia="Verdana" w:hAnsi="Arial"/>
          <w:sz w:val="24"/>
          <w:szCs w:val="24"/>
        </w:rPr>
        <w:t>odpowiedni rozkład zapadalności instrumentów dłużnych – dążenie do równomiernego rozkładu płatności z tytułu obsługiwanego i wykupywanego długu w kolejnych latach,</w:t>
      </w:r>
    </w:p>
    <w:p w14:paraId="40337B21" w14:textId="77777777" w:rsidR="002B0E5E" w:rsidRPr="002B0E5E" w:rsidRDefault="008B10D5" w:rsidP="002B0E5E">
      <w:pPr>
        <w:pStyle w:val="Akapitzlist"/>
        <w:numPr>
          <w:ilvl w:val="0"/>
          <w:numId w:val="35"/>
        </w:numPr>
        <w:tabs>
          <w:tab w:val="left" w:pos="729"/>
        </w:tabs>
        <w:spacing w:line="360" w:lineRule="auto"/>
        <w:ind w:right="160"/>
        <w:rPr>
          <w:rFonts w:ascii="Arial" w:eastAsia="Arial" w:hAnsi="Arial"/>
          <w:sz w:val="24"/>
          <w:szCs w:val="24"/>
        </w:rPr>
      </w:pPr>
      <w:r w:rsidRPr="002B0E5E">
        <w:rPr>
          <w:rFonts w:ascii="Arial" w:eastAsia="Verdana" w:hAnsi="Arial"/>
          <w:sz w:val="24"/>
          <w:szCs w:val="24"/>
        </w:rPr>
        <w:t>dążenie do zwiększania roli instrumentów średnio</w:t>
      </w:r>
      <w:r w:rsidR="000A6FD6" w:rsidRPr="002B0E5E">
        <w:rPr>
          <w:rFonts w:ascii="Arial" w:eastAsia="Verdana" w:hAnsi="Arial"/>
          <w:sz w:val="24"/>
          <w:szCs w:val="24"/>
        </w:rPr>
        <w:t xml:space="preserve"> </w:t>
      </w:r>
      <w:r w:rsidRPr="002B0E5E">
        <w:rPr>
          <w:rFonts w:ascii="Arial" w:eastAsia="Verdana" w:hAnsi="Arial"/>
          <w:sz w:val="24"/>
          <w:szCs w:val="24"/>
        </w:rPr>
        <w:t>- i długoterminowych w finansowaniu potrzeb dłużnych Miasta,</w:t>
      </w:r>
    </w:p>
    <w:p w14:paraId="1732F762" w14:textId="77777777" w:rsidR="002B0E5E" w:rsidRPr="002B0E5E" w:rsidRDefault="008B10D5" w:rsidP="002B0E5E">
      <w:pPr>
        <w:pStyle w:val="Akapitzlist"/>
        <w:numPr>
          <w:ilvl w:val="0"/>
          <w:numId w:val="35"/>
        </w:numPr>
        <w:tabs>
          <w:tab w:val="left" w:pos="729"/>
        </w:tabs>
        <w:spacing w:line="360" w:lineRule="auto"/>
        <w:ind w:right="160"/>
        <w:rPr>
          <w:rFonts w:ascii="Arial" w:eastAsia="Arial" w:hAnsi="Arial"/>
          <w:sz w:val="24"/>
          <w:szCs w:val="24"/>
        </w:rPr>
      </w:pPr>
      <w:r w:rsidRPr="002B0E5E">
        <w:rPr>
          <w:rFonts w:ascii="Arial" w:eastAsia="Verdana" w:hAnsi="Arial"/>
          <w:sz w:val="24"/>
          <w:szCs w:val="24"/>
        </w:rPr>
        <w:t>utrzymywanie wskaźnika spłaty zadłużenia, liczonego jako zadłużenie ogółem netto do nadwyżki operacyjnej, na poziomie max 9 lat,</w:t>
      </w:r>
    </w:p>
    <w:p w14:paraId="255BF9FA" w14:textId="77777777" w:rsidR="002B0E5E" w:rsidRPr="002B0E5E" w:rsidRDefault="008B10D5" w:rsidP="002B0E5E">
      <w:pPr>
        <w:pStyle w:val="Akapitzlist"/>
        <w:numPr>
          <w:ilvl w:val="0"/>
          <w:numId w:val="35"/>
        </w:numPr>
        <w:tabs>
          <w:tab w:val="left" w:pos="729"/>
        </w:tabs>
        <w:spacing w:line="360" w:lineRule="auto"/>
        <w:ind w:right="160"/>
        <w:rPr>
          <w:rFonts w:ascii="Arial" w:eastAsia="Arial" w:hAnsi="Arial"/>
          <w:sz w:val="24"/>
          <w:szCs w:val="24"/>
        </w:rPr>
      </w:pPr>
      <w:r w:rsidRPr="002B0E5E">
        <w:rPr>
          <w:rFonts w:ascii="Arial" w:eastAsia="Verdana" w:hAnsi="Arial"/>
          <w:sz w:val="24"/>
          <w:szCs w:val="24"/>
        </w:rPr>
        <w:lastRenderedPageBreak/>
        <w:t>utrzymywanie wskaźnika obsługi zadłużenia – liczonego jako relacja nadwyżki operacyjnej powiększonej o wolne środki oraz nadwyżkę z lat ubiegłych do obsługi zadłużenia, na poziomie wyższym niż 1,5,</w:t>
      </w:r>
    </w:p>
    <w:p w14:paraId="6BD58FC1" w14:textId="77777777" w:rsidR="002B0E5E" w:rsidRPr="002B0E5E" w:rsidRDefault="008B10D5" w:rsidP="002B0E5E">
      <w:pPr>
        <w:pStyle w:val="Akapitzlist"/>
        <w:numPr>
          <w:ilvl w:val="0"/>
          <w:numId w:val="35"/>
        </w:numPr>
        <w:tabs>
          <w:tab w:val="left" w:pos="729"/>
        </w:tabs>
        <w:spacing w:line="360" w:lineRule="auto"/>
        <w:ind w:right="160"/>
        <w:rPr>
          <w:rFonts w:ascii="Arial" w:eastAsia="Arial" w:hAnsi="Arial"/>
          <w:sz w:val="24"/>
          <w:szCs w:val="24"/>
        </w:rPr>
      </w:pPr>
      <w:r w:rsidRPr="002B0E5E">
        <w:rPr>
          <w:rFonts w:ascii="Arial" w:eastAsia="Verdana" w:hAnsi="Arial"/>
          <w:sz w:val="24"/>
          <w:szCs w:val="24"/>
        </w:rPr>
        <w:t>utrzymywanie wskaźnika ATM na poziomie minimalnym równym wskaźnikowi spłaty długu (zadłużenie do nadwyżki bieżącej), a max 20 lat,</w:t>
      </w:r>
    </w:p>
    <w:p w14:paraId="3B465779" w14:textId="77777777" w:rsidR="002B0E5E" w:rsidRPr="002B0E5E" w:rsidRDefault="008B10D5" w:rsidP="002B0E5E">
      <w:pPr>
        <w:pStyle w:val="Akapitzlist"/>
        <w:numPr>
          <w:ilvl w:val="0"/>
          <w:numId w:val="35"/>
        </w:numPr>
        <w:tabs>
          <w:tab w:val="left" w:pos="729"/>
        </w:tabs>
        <w:spacing w:line="360" w:lineRule="auto"/>
        <w:ind w:right="160"/>
        <w:rPr>
          <w:rFonts w:ascii="Arial" w:eastAsia="Arial" w:hAnsi="Arial"/>
          <w:sz w:val="24"/>
          <w:szCs w:val="24"/>
        </w:rPr>
      </w:pPr>
      <w:r w:rsidRPr="002B0E5E">
        <w:rPr>
          <w:rFonts w:ascii="Arial" w:eastAsia="Verdana" w:hAnsi="Arial"/>
          <w:sz w:val="24"/>
          <w:szCs w:val="24"/>
        </w:rPr>
        <w:t>utrzymywanie relacji nadwyżki operacyjnej brutto (nadwyżka bieżąca powiększona o odsetki) do odsetek na poziomie wyższym niż 1,5,</w:t>
      </w:r>
    </w:p>
    <w:p w14:paraId="062626E0" w14:textId="002F8D24" w:rsidR="008B10D5" w:rsidRPr="002B0E5E" w:rsidRDefault="008B10D5" w:rsidP="002B0E5E">
      <w:pPr>
        <w:pStyle w:val="Akapitzlist"/>
        <w:numPr>
          <w:ilvl w:val="0"/>
          <w:numId w:val="35"/>
        </w:numPr>
        <w:tabs>
          <w:tab w:val="left" w:pos="729"/>
        </w:tabs>
        <w:spacing w:line="360" w:lineRule="auto"/>
        <w:ind w:right="160"/>
        <w:rPr>
          <w:rFonts w:ascii="Arial" w:eastAsia="Arial" w:hAnsi="Arial"/>
          <w:sz w:val="24"/>
          <w:szCs w:val="24"/>
        </w:rPr>
      </w:pPr>
      <w:r w:rsidRPr="002B0E5E">
        <w:rPr>
          <w:rFonts w:ascii="Arial" w:eastAsia="Verdana" w:hAnsi="Arial"/>
          <w:sz w:val="24"/>
          <w:szCs w:val="24"/>
        </w:rPr>
        <w:t>stosowanie opcji przedterminowego wykupu długu.</w:t>
      </w:r>
    </w:p>
    <w:p w14:paraId="00AE24D6" w14:textId="77777777" w:rsidR="008B10D5" w:rsidRPr="007334B2" w:rsidRDefault="008B10D5" w:rsidP="00735A22">
      <w:pPr>
        <w:tabs>
          <w:tab w:val="left" w:pos="730"/>
        </w:tabs>
        <w:spacing w:line="360" w:lineRule="auto"/>
        <w:ind w:left="727" w:right="140" w:hanging="370"/>
        <w:rPr>
          <w:rFonts w:ascii="Arial" w:eastAsia="Arial" w:hAnsi="Arial"/>
          <w:sz w:val="24"/>
          <w:szCs w:val="24"/>
        </w:rPr>
        <w:sectPr w:rsidR="008B10D5" w:rsidRPr="007334B2" w:rsidSect="00FE1E7B">
          <w:type w:val="continuous"/>
          <w:pgSz w:w="11900" w:h="16838"/>
          <w:pgMar w:top="1410" w:right="986" w:bottom="425" w:left="1133" w:header="0" w:footer="0" w:gutter="0"/>
          <w:cols w:space="0" w:equalWidth="0">
            <w:col w:w="9787"/>
          </w:cols>
          <w:docGrid w:linePitch="360"/>
        </w:sectPr>
      </w:pPr>
    </w:p>
    <w:p w14:paraId="33C7E7D4" w14:textId="77777777" w:rsidR="008B10D5" w:rsidRPr="007334B2" w:rsidRDefault="008B10D5" w:rsidP="00735A22">
      <w:pPr>
        <w:spacing w:line="360" w:lineRule="auto"/>
        <w:rPr>
          <w:rFonts w:ascii="Arial" w:eastAsia="Arial" w:hAnsi="Arial"/>
          <w:sz w:val="24"/>
          <w:szCs w:val="24"/>
        </w:rPr>
      </w:pPr>
    </w:p>
    <w:p w14:paraId="31872606" w14:textId="655595C7" w:rsidR="008B10D5" w:rsidRPr="00A662E8" w:rsidRDefault="008B10D5" w:rsidP="00735A22">
      <w:pPr>
        <w:spacing w:line="360" w:lineRule="auto"/>
        <w:ind w:left="7"/>
        <w:rPr>
          <w:rFonts w:ascii="Arial" w:eastAsia="Verdana" w:hAnsi="Arial"/>
          <w:b/>
          <w:sz w:val="24"/>
          <w:szCs w:val="24"/>
        </w:rPr>
      </w:pPr>
      <w:r w:rsidRPr="00A662E8">
        <w:rPr>
          <w:rFonts w:ascii="Arial" w:eastAsia="Verdana" w:hAnsi="Arial"/>
          <w:b/>
          <w:sz w:val="24"/>
          <w:szCs w:val="24"/>
        </w:rPr>
        <w:t>Ryzyko stopy procentowej</w:t>
      </w:r>
    </w:p>
    <w:p w14:paraId="28CA8D62" w14:textId="77777777" w:rsidR="008B10D5" w:rsidRPr="007334B2" w:rsidRDefault="008B10D5" w:rsidP="00735A22">
      <w:pPr>
        <w:numPr>
          <w:ilvl w:val="0"/>
          <w:numId w:val="6"/>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miary ryzyka:</w:t>
      </w:r>
    </w:p>
    <w:p w14:paraId="0E102FBE" w14:textId="77777777" w:rsidR="002B0E5E" w:rsidRPr="002B0E5E" w:rsidRDefault="008B10D5" w:rsidP="002B0E5E">
      <w:pPr>
        <w:pStyle w:val="Akapitzlist"/>
        <w:numPr>
          <w:ilvl w:val="0"/>
          <w:numId w:val="36"/>
        </w:numPr>
        <w:tabs>
          <w:tab w:val="left" w:pos="727"/>
        </w:tabs>
        <w:spacing w:line="360" w:lineRule="auto"/>
        <w:rPr>
          <w:rFonts w:ascii="Arial" w:eastAsia="Arial" w:hAnsi="Arial"/>
          <w:sz w:val="24"/>
          <w:szCs w:val="24"/>
        </w:rPr>
      </w:pPr>
      <w:r w:rsidRPr="002B0E5E">
        <w:rPr>
          <w:rFonts w:ascii="Arial" w:eastAsia="Verdana" w:hAnsi="Arial"/>
          <w:sz w:val="24"/>
          <w:szCs w:val="24"/>
        </w:rPr>
        <w:t>udział instrumentów o oprocentowaniu zmiennym,</w:t>
      </w:r>
    </w:p>
    <w:p w14:paraId="5CAB9452" w14:textId="77777777" w:rsidR="002B0E5E" w:rsidRPr="002B0E5E" w:rsidRDefault="008B10D5" w:rsidP="002B0E5E">
      <w:pPr>
        <w:pStyle w:val="Akapitzlist"/>
        <w:numPr>
          <w:ilvl w:val="0"/>
          <w:numId w:val="36"/>
        </w:numPr>
        <w:tabs>
          <w:tab w:val="left" w:pos="727"/>
        </w:tabs>
        <w:spacing w:line="360" w:lineRule="auto"/>
        <w:rPr>
          <w:rFonts w:ascii="Arial" w:eastAsia="Arial" w:hAnsi="Arial"/>
          <w:sz w:val="24"/>
          <w:szCs w:val="24"/>
        </w:rPr>
      </w:pPr>
      <w:r w:rsidRPr="002B0E5E">
        <w:rPr>
          <w:rFonts w:ascii="Arial" w:eastAsia="Verdana" w:hAnsi="Arial"/>
          <w:sz w:val="24"/>
          <w:szCs w:val="24"/>
        </w:rPr>
        <w:t>udział instrumentów o oprocentowaniu stałym,</w:t>
      </w:r>
    </w:p>
    <w:p w14:paraId="4F2C4016" w14:textId="43ACF123" w:rsidR="008B10D5" w:rsidRPr="002B0E5E" w:rsidRDefault="008B10D5" w:rsidP="002B0E5E">
      <w:pPr>
        <w:pStyle w:val="Akapitzlist"/>
        <w:numPr>
          <w:ilvl w:val="0"/>
          <w:numId w:val="36"/>
        </w:numPr>
        <w:tabs>
          <w:tab w:val="left" w:pos="727"/>
        </w:tabs>
        <w:spacing w:line="360" w:lineRule="auto"/>
        <w:rPr>
          <w:rFonts w:ascii="Arial" w:eastAsia="Arial" w:hAnsi="Arial"/>
          <w:sz w:val="24"/>
          <w:szCs w:val="24"/>
        </w:rPr>
      </w:pPr>
      <w:r w:rsidRPr="002B0E5E">
        <w:rPr>
          <w:rFonts w:ascii="Arial" w:eastAsia="Verdana" w:hAnsi="Arial"/>
          <w:sz w:val="24"/>
          <w:szCs w:val="24"/>
        </w:rPr>
        <w:t>poziom podstawowych stóp procentowych,</w:t>
      </w:r>
    </w:p>
    <w:p w14:paraId="6FA36CF2" w14:textId="77777777" w:rsidR="008B10D5" w:rsidRPr="007334B2" w:rsidRDefault="008B10D5" w:rsidP="00735A22">
      <w:pPr>
        <w:numPr>
          <w:ilvl w:val="0"/>
          <w:numId w:val="6"/>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instrumenty zarządzania:</w:t>
      </w:r>
    </w:p>
    <w:p w14:paraId="728FD741" w14:textId="77777777" w:rsidR="00861049" w:rsidRPr="007334B2" w:rsidRDefault="008B10D5" w:rsidP="00735A22">
      <w:pPr>
        <w:numPr>
          <w:ilvl w:val="1"/>
          <w:numId w:val="6"/>
        </w:numPr>
        <w:tabs>
          <w:tab w:val="left" w:pos="715"/>
        </w:tabs>
        <w:spacing w:line="360" w:lineRule="auto"/>
        <w:ind w:left="727" w:right="140" w:hanging="367"/>
        <w:rPr>
          <w:rFonts w:ascii="Arial" w:eastAsia="Arial" w:hAnsi="Arial"/>
          <w:sz w:val="24"/>
          <w:szCs w:val="24"/>
        </w:rPr>
      </w:pPr>
      <w:r w:rsidRPr="007334B2">
        <w:rPr>
          <w:rFonts w:ascii="Arial" w:eastAsia="Verdana" w:hAnsi="Arial"/>
          <w:sz w:val="24"/>
          <w:szCs w:val="24"/>
        </w:rPr>
        <w:t>dywersyfikacja zadłużenia pod względem charakterystyki oprocentowania i jego rewizja w sytuacji spodziewanych zmian w polityce pieniężnej kraju (preferowane korzystne oprocentowanie stałe).</w:t>
      </w:r>
    </w:p>
    <w:p w14:paraId="58069F0B" w14:textId="77777777" w:rsidR="00861049" w:rsidRPr="007334B2" w:rsidRDefault="00861049" w:rsidP="00735A22">
      <w:pPr>
        <w:tabs>
          <w:tab w:val="left" w:pos="715"/>
        </w:tabs>
        <w:spacing w:line="360" w:lineRule="auto"/>
        <w:ind w:right="140"/>
        <w:rPr>
          <w:rFonts w:ascii="Arial" w:eastAsia="Arial" w:hAnsi="Arial"/>
          <w:sz w:val="24"/>
          <w:szCs w:val="24"/>
        </w:rPr>
      </w:pPr>
    </w:p>
    <w:p w14:paraId="11105100" w14:textId="77777777" w:rsidR="00861049" w:rsidRPr="003C2361" w:rsidRDefault="00861049" w:rsidP="00735A22">
      <w:pPr>
        <w:spacing w:line="360" w:lineRule="auto"/>
        <w:rPr>
          <w:rFonts w:ascii="Arial" w:eastAsia="Verdana" w:hAnsi="Arial"/>
          <w:b/>
          <w:sz w:val="24"/>
          <w:szCs w:val="24"/>
        </w:rPr>
      </w:pPr>
      <w:r w:rsidRPr="003C2361">
        <w:rPr>
          <w:rFonts w:ascii="Arial" w:eastAsia="Verdana" w:hAnsi="Arial"/>
          <w:b/>
          <w:sz w:val="24"/>
          <w:szCs w:val="24"/>
        </w:rPr>
        <w:t>Ryzyko utraty płynności</w:t>
      </w:r>
    </w:p>
    <w:p w14:paraId="3A0024F9" w14:textId="77777777" w:rsidR="00861049" w:rsidRPr="007334B2" w:rsidRDefault="00861049" w:rsidP="00735A22">
      <w:pPr>
        <w:numPr>
          <w:ilvl w:val="0"/>
          <w:numId w:val="7"/>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miary ryzyka:</w:t>
      </w:r>
    </w:p>
    <w:p w14:paraId="2AF0638E" w14:textId="77777777" w:rsidR="009D5207" w:rsidRPr="009D5207" w:rsidRDefault="00861049" w:rsidP="009D5207">
      <w:pPr>
        <w:pStyle w:val="Akapitzlist"/>
        <w:numPr>
          <w:ilvl w:val="0"/>
          <w:numId w:val="37"/>
        </w:numPr>
        <w:tabs>
          <w:tab w:val="left" w:pos="727"/>
        </w:tabs>
        <w:spacing w:line="360" w:lineRule="auto"/>
        <w:rPr>
          <w:rFonts w:ascii="Arial" w:eastAsia="Arial" w:hAnsi="Arial"/>
          <w:sz w:val="24"/>
          <w:szCs w:val="24"/>
        </w:rPr>
      </w:pPr>
      <w:r w:rsidRPr="009D5207">
        <w:rPr>
          <w:rFonts w:ascii="Arial" w:eastAsia="Verdana" w:hAnsi="Arial"/>
          <w:sz w:val="24"/>
          <w:szCs w:val="24"/>
        </w:rPr>
        <w:t>stan środków finansowych na rachunku Miasta,</w:t>
      </w:r>
    </w:p>
    <w:p w14:paraId="6D6EF01A" w14:textId="313720C1" w:rsidR="00861049" w:rsidRPr="009D5207" w:rsidRDefault="00861049" w:rsidP="009D5207">
      <w:pPr>
        <w:pStyle w:val="Akapitzlist"/>
        <w:numPr>
          <w:ilvl w:val="0"/>
          <w:numId w:val="37"/>
        </w:numPr>
        <w:tabs>
          <w:tab w:val="left" w:pos="727"/>
        </w:tabs>
        <w:spacing w:line="360" w:lineRule="auto"/>
        <w:rPr>
          <w:rFonts w:ascii="Arial" w:eastAsia="Arial" w:hAnsi="Arial"/>
          <w:sz w:val="24"/>
          <w:szCs w:val="24"/>
        </w:rPr>
      </w:pPr>
      <w:r w:rsidRPr="009D5207">
        <w:rPr>
          <w:rFonts w:ascii="Arial" w:eastAsia="Verdana" w:hAnsi="Arial"/>
          <w:sz w:val="24"/>
          <w:szCs w:val="24"/>
        </w:rPr>
        <w:t>wskaźnik płynności finansowej, liczony jako stosunek sumy dochodów i przychodów</w:t>
      </w:r>
      <w:r w:rsidR="00735A22" w:rsidRPr="009D5207">
        <w:rPr>
          <w:rFonts w:ascii="Arial" w:eastAsia="Verdana" w:hAnsi="Arial"/>
          <w:sz w:val="24"/>
          <w:szCs w:val="24"/>
        </w:rPr>
        <w:t xml:space="preserve"> </w:t>
      </w:r>
      <w:r w:rsidRPr="009D5207">
        <w:rPr>
          <w:rFonts w:ascii="Arial" w:eastAsia="Verdana" w:hAnsi="Arial"/>
          <w:sz w:val="24"/>
          <w:szCs w:val="24"/>
        </w:rPr>
        <w:t>do sumy wydatków i rozchodów,</w:t>
      </w:r>
    </w:p>
    <w:p w14:paraId="53FDFA26" w14:textId="77777777" w:rsidR="00861049" w:rsidRPr="007334B2" w:rsidRDefault="00861049" w:rsidP="00735A22">
      <w:pPr>
        <w:numPr>
          <w:ilvl w:val="0"/>
          <w:numId w:val="7"/>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instrumenty zarządzania:</w:t>
      </w:r>
    </w:p>
    <w:p w14:paraId="4E62CEA5" w14:textId="77777777" w:rsidR="009D5207" w:rsidRPr="009D5207" w:rsidRDefault="00861049" w:rsidP="009D5207">
      <w:pPr>
        <w:pStyle w:val="Akapitzlist"/>
        <w:numPr>
          <w:ilvl w:val="0"/>
          <w:numId w:val="38"/>
        </w:numPr>
        <w:tabs>
          <w:tab w:val="left" w:pos="730"/>
        </w:tabs>
        <w:spacing w:line="360" w:lineRule="auto"/>
        <w:ind w:right="160"/>
        <w:rPr>
          <w:rFonts w:ascii="Arial" w:eastAsia="Arial" w:hAnsi="Arial"/>
          <w:sz w:val="24"/>
          <w:szCs w:val="24"/>
        </w:rPr>
      </w:pPr>
      <w:r w:rsidRPr="009D5207">
        <w:rPr>
          <w:rFonts w:ascii="Arial" w:eastAsia="Verdana" w:hAnsi="Arial"/>
          <w:sz w:val="24"/>
          <w:szCs w:val="24"/>
        </w:rPr>
        <w:t>monitorowanie sytuacji finansowej Miasta przy pomocy odpowiedniego systemu informatycznego,</w:t>
      </w:r>
    </w:p>
    <w:p w14:paraId="2F98C40B" w14:textId="77777777" w:rsidR="009D5207" w:rsidRPr="009D5207" w:rsidRDefault="00861049" w:rsidP="009D5207">
      <w:pPr>
        <w:pStyle w:val="Akapitzlist"/>
        <w:numPr>
          <w:ilvl w:val="0"/>
          <w:numId w:val="38"/>
        </w:numPr>
        <w:tabs>
          <w:tab w:val="left" w:pos="730"/>
        </w:tabs>
        <w:spacing w:line="360" w:lineRule="auto"/>
        <w:ind w:right="160"/>
        <w:rPr>
          <w:rFonts w:ascii="Arial" w:eastAsia="Arial" w:hAnsi="Arial"/>
          <w:sz w:val="24"/>
          <w:szCs w:val="24"/>
        </w:rPr>
      </w:pPr>
      <w:r w:rsidRPr="009D5207">
        <w:rPr>
          <w:rFonts w:ascii="Arial" w:eastAsia="Verdana" w:hAnsi="Arial"/>
          <w:sz w:val="24"/>
          <w:szCs w:val="24"/>
        </w:rPr>
        <w:t>monitorowanie sytuacji finansowej Miasta w perspektywie średnio</w:t>
      </w:r>
      <w:r w:rsidR="004B51A4" w:rsidRPr="009D5207">
        <w:rPr>
          <w:rFonts w:ascii="Arial" w:eastAsia="Verdana" w:hAnsi="Arial"/>
          <w:sz w:val="24"/>
          <w:szCs w:val="24"/>
        </w:rPr>
        <w:t xml:space="preserve"> </w:t>
      </w:r>
      <w:r w:rsidRPr="009D5207">
        <w:rPr>
          <w:rFonts w:ascii="Arial" w:eastAsia="Verdana" w:hAnsi="Arial"/>
          <w:sz w:val="24"/>
          <w:szCs w:val="24"/>
        </w:rPr>
        <w:t>- i długoterminowej (rok budżetowy plus trzy kolejne lata),</w:t>
      </w:r>
    </w:p>
    <w:p w14:paraId="4DFA2894" w14:textId="77777777" w:rsidR="009D5207" w:rsidRPr="009D5207" w:rsidRDefault="00861049" w:rsidP="009D5207">
      <w:pPr>
        <w:pStyle w:val="Akapitzlist"/>
        <w:numPr>
          <w:ilvl w:val="0"/>
          <w:numId w:val="38"/>
        </w:numPr>
        <w:tabs>
          <w:tab w:val="left" w:pos="730"/>
        </w:tabs>
        <w:spacing w:line="360" w:lineRule="auto"/>
        <w:ind w:right="160"/>
        <w:rPr>
          <w:rFonts w:ascii="Arial" w:eastAsia="Arial" w:hAnsi="Arial"/>
          <w:sz w:val="24"/>
          <w:szCs w:val="24"/>
        </w:rPr>
      </w:pPr>
      <w:r w:rsidRPr="009D5207">
        <w:rPr>
          <w:rFonts w:ascii="Arial" w:eastAsia="Verdana" w:hAnsi="Arial"/>
          <w:sz w:val="24"/>
          <w:szCs w:val="24"/>
        </w:rPr>
        <w:t xml:space="preserve">utrzymywanie bezpiecznego poziomu płynności budżetu Miasta przy efektywnym zarządzaniu wolnymi środkami będącymi w </w:t>
      </w:r>
      <w:proofErr w:type="spellStart"/>
      <w:r w:rsidRPr="009D5207">
        <w:rPr>
          <w:rFonts w:ascii="Arial" w:eastAsia="Verdana" w:hAnsi="Arial"/>
          <w:sz w:val="24"/>
          <w:szCs w:val="24"/>
        </w:rPr>
        <w:t>dyspozycji,</w:t>
      </w:r>
      <w:proofErr w:type="spellEnd"/>
    </w:p>
    <w:p w14:paraId="0481EAC7" w14:textId="77777777" w:rsidR="009D5207" w:rsidRPr="009D5207" w:rsidRDefault="00861049" w:rsidP="009D5207">
      <w:pPr>
        <w:pStyle w:val="Akapitzlist"/>
        <w:numPr>
          <w:ilvl w:val="0"/>
          <w:numId w:val="38"/>
        </w:numPr>
        <w:tabs>
          <w:tab w:val="left" w:pos="730"/>
        </w:tabs>
        <w:spacing w:line="360" w:lineRule="auto"/>
        <w:ind w:right="160"/>
        <w:rPr>
          <w:rFonts w:ascii="Arial" w:eastAsia="Arial" w:hAnsi="Arial"/>
          <w:sz w:val="24"/>
          <w:szCs w:val="24"/>
        </w:rPr>
      </w:pPr>
      <w:r w:rsidRPr="009D5207">
        <w:rPr>
          <w:rFonts w:ascii="Arial" w:eastAsia="Verdana" w:hAnsi="Arial"/>
          <w:sz w:val="24"/>
          <w:szCs w:val="24"/>
        </w:rPr>
        <w:lastRenderedPageBreak/>
        <w:t>dostępny kredyt w rachunku bieżącym Miasta,</w:t>
      </w:r>
    </w:p>
    <w:p w14:paraId="49B5FD05" w14:textId="7209FED3" w:rsidR="00861049" w:rsidRPr="009D5207" w:rsidRDefault="00861049" w:rsidP="009D5207">
      <w:pPr>
        <w:pStyle w:val="Akapitzlist"/>
        <w:numPr>
          <w:ilvl w:val="0"/>
          <w:numId w:val="38"/>
        </w:numPr>
        <w:tabs>
          <w:tab w:val="left" w:pos="730"/>
        </w:tabs>
        <w:spacing w:line="360" w:lineRule="auto"/>
        <w:ind w:right="160"/>
        <w:rPr>
          <w:rFonts w:ascii="Arial" w:eastAsia="Arial" w:hAnsi="Arial"/>
          <w:sz w:val="24"/>
          <w:szCs w:val="24"/>
        </w:rPr>
      </w:pPr>
      <w:r w:rsidRPr="009D5207">
        <w:rPr>
          <w:rFonts w:ascii="Arial" w:eastAsia="Verdana" w:hAnsi="Arial"/>
          <w:sz w:val="24"/>
          <w:szCs w:val="24"/>
        </w:rPr>
        <w:t>utrzymywanie wskaźnika płynności finansowej w przedziale 1</w:t>
      </w:r>
      <w:r w:rsidR="004B51A4" w:rsidRPr="009D5207">
        <w:rPr>
          <w:rFonts w:ascii="Arial" w:eastAsia="Verdana" w:hAnsi="Arial"/>
          <w:sz w:val="24"/>
          <w:szCs w:val="24"/>
        </w:rPr>
        <w:t xml:space="preserve"> </w:t>
      </w:r>
      <w:r w:rsidRPr="009D5207">
        <w:rPr>
          <w:rFonts w:ascii="Arial" w:eastAsia="Verdana" w:hAnsi="Arial"/>
          <w:sz w:val="24"/>
          <w:szCs w:val="24"/>
        </w:rPr>
        <w:t>-</w:t>
      </w:r>
      <w:r w:rsidR="004B51A4" w:rsidRPr="009D5207">
        <w:rPr>
          <w:rFonts w:ascii="Arial" w:eastAsia="Verdana" w:hAnsi="Arial"/>
          <w:sz w:val="24"/>
          <w:szCs w:val="24"/>
        </w:rPr>
        <w:t xml:space="preserve"> </w:t>
      </w:r>
      <w:r w:rsidRPr="009D5207">
        <w:rPr>
          <w:rFonts w:ascii="Arial" w:eastAsia="Verdana" w:hAnsi="Arial"/>
          <w:sz w:val="24"/>
          <w:szCs w:val="24"/>
        </w:rPr>
        <w:t>1,5.</w:t>
      </w:r>
    </w:p>
    <w:p w14:paraId="02550AC5" w14:textId="77777777" w:rsidR="00861049" w:rsidRPr="00A662E8" w:rsidRDefault="00861049" w:rsidP="00735A22">
      <w:pPr>
        <w:spacing w:line="360" w:lineRule="auto"/>
        <w:ind w:left="7"/>
        <w:rPr>
          <w:rFonts w:ascii="Arial" w:eastAsia="Verdana" w:hAnsi="Arial"/>
          <w:b/>
          <w:sz w:val="24"/>
          <w:szCs w:val="24"/>
        </w:rPr>
      </w:pPr>
      <w:r w:rsidRPr="00A662E8">
        <w:rPr>
          <w:rFonts w:ascii="Arial" w:eastAsia="Verdana" w:hAnsi="Arial"/>
          <w:b/>
          <w:sz w:val="24"/>
          <w:szCs w:val="24"/>
        </w:rPr>
        <w:t>Ryzyko budżetu</w:t>
      </w:r>
    </w:p>
    <w:p w14:paraId="138AE0D1" w14:textId="77777777" w:rsidR="00861049" w:rsidRPr="007334B2" w:rsidRDefault="00861049" w:rsidP="00735A22">
      <w:pPr>
        <w:numPr>
          <w:ilvl w:val="0"/>
          <w:numId w:val="9"/>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miary ryzyka:</w:t>
      </w:r>
    </w:p>
    <w:p w14:paraId="59857564" w14:textId="77777777" w:rsidR="0098443C" w:rsidRPr="0098443C" w:rsidRDefault="00861049" w:rsidP="0098443C">
      <w:pPr>
        <w:pStyle w:val="Akapitzlist"/>
        <w:numPr>
          <w:ilvl w:val="0"/>
          <w:numId w:val="39"/>
        </w:numPr>
        <w:tabs>
          <w:tab w:val="left" w:pos="727"/>
        </w:tabs>
        <w:spacing w:line="360" w:lineRule="auto"/>
        <w:rPr>
          <w:rFonts w:ascii="Arial" w:eastAsia="Arial" w:hAnsi="Arial"/>
          <w:sz w:val="24"/>
          <w:szCs w:val="24"/>
        </w:rPr>
      </w:pPr>
      <w:r w:rsidRPr="0098443C">
        <w:rPr>
          <w:rFonts w:ascii="Arial" w:eastAsia="Verdana" w:hAnsi="Arial"/>
          <w:sz w:val="24"/>
          <w:szCs w:val="24"/>
        </w:rPr>
        <w:t>poziom nadwyżki oraz marży operacyjnej,</w:t>
      </w:r>
    </w:p>
    <w:p w14:paraId="535D14E6" w14:textId="77777777" w:rsidR="0098443C" w:rsidRPr="0098443C" w:rsidRDefault="00861049" w:rsidP="0098443C">
      <w:pPr>
        <w:pStyle w:val="Akapitzlist"/>
        <w:numPr>
          <w:ilvl w:val="0"/>
          <w:numId w:val="39"/>
        </w:numPr>
        <w:tabs>
          <w:tab w:val="left" w:pos="727"/>
        </w:tabs>
        <w:spacing w:line="360" w:lineRule="auto"/>
        <w:rPr>
          <w:rFonts w:ascii="Arial" w:eastAsia="Arial" w:hAnsi="Arial"/>
          <w:sz w:val="24"/>
          <w:szCs w:val="24"/>
        </w:rPr>
      </w:pPr>
      <w:r w:rsidRPr="0098443C">
        <w:rPr>
          <w:rFonts w:ascii="Arial" w:eastAsia="Verdana" w:hAnsi="Arial"/>
          <w:sz w:val="24"/>
          <w:szCs w:val="24"/>
        </w:rPr>
        <w:t>dynamika wzrostu wydatków bieżących w odniesieniu do dynamiki wzrostu dochodów bieżących,</w:t>
      </w:r>
    </w:p>
    <w:p w14:paraId="5C66061F" w14:textId="77777777" w:rsidR="0098443C" w:rsidRPr="0098443C" w:rsidRDefault="00861049" w:rsidP="0098443C">
      <w:pPr>
        <w:pStyle w:val="Akapitzlist"/>
        <w:numPr>
          <w:ilvl w:val="0"/>
          <w:numId w:val="39"/>
        </w:numPr>
        <w:tabs>
          <w:tab w:val="left" w:pos="727"/>
        </w:tabs>
        <w:spacing w:line="360" w:lineRule="auto"/>
        <w:rPr>
          <w:rFonts w:ascii="Arial" w:eastAsia="Arial" w:hAnsi="Arial"/>
          <w:sz w:val="24"/>
          <w:szCs w:val="24"/>
        </w:rPr>
      </w:pPr>
      <w:r w:rsidRPr="0098443C">
        <w:rPr>
          <w:rFonts w:ascii="Arial" w:eastAsia="Verdana" w:hAnsi="Arial"/>
          <w:sz w:val="24"/>
          <w:szCs w:val="24"/>
        </w:rPr>
        <w:t>zasada zrównoważonego budżetu,</w:t>
      </w:r>
    </w:p>
    <w:p w14:paraId="1E845387" w14:textId="06AE00EC" w:rsidR="00861049" w:rsidRPr="0098443C" w:rsidRDefault="00861049" w:rsidP="0098443C">
      <w:pPr>
        <w:pStyle w:val="Akapitzlist"/>
        <w:numPr>
          <w:ilvl w:val="0"/>
          <w:numId w:val="39"/>
        </w:numPr>
        <w:tabs>
          <w:tab w:val="left" w:pos="727"/>
        </w:tabs>
        <w:spacing w:line="360" w:lineRule="auto"/>
        <w:rPr>
          <w:rFonts w:ascii="Arial" w:eastAsia="Arial" w:hAnsi="Arial"/>
          <w:sz w:val="24"/>
          <w:szCs w:val="24"/>
        </w:rPr>
      </w:pPr>
      <w:r w:rsidRPr="0098443C">
        <w:rPr>
          <w:rFonts w:ascii="Arial" w:eastAsia="Verdana" w:hAnsi="Arial"/>
          <w:sz w:val="24"/>
          <w:szCs w:val="24"/>
        </w:rPr>
        <w:t>wskaźniki zadłużenia</w:t>
      </w:r>
      <w:r w:rsidR="004B51A4" w:rsidRPr="0098443C">
        <w:rPr>
          <w:rFonts w:ascii="Arial" w:eastAsia="Verdana" w:hAnsi="Arial"/>
          <w:sz w:val="24"/>
          <w:szCs w:val="24"/>
        </w:rPr>
        <w:t>.</w:t>
      </w:r>
    </w:p>
    <w:p w14:paraId="55852BB2" w14:textId="77777777" w:rsidR="00861049" w:rsidRPr="007334B2" w:rsidRDefault="00861049" w:rsidP="00735A22">
      <w:pPr>
        <w:numPr>
          <w:ilvl w:val="0"/>
          <w:numId w:val="9"/>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instrumenty zarządzania:</w:t>
      </w:r>
    </w:p>
    <w:p w14:paraId="4F368548" w14:textId="77777777" w:rsidR="0098443C" w:rsidRPr="0098443C" w:rsidRDefault="00861049" w:rsidP="0098443C">
      <w:pPr>
        <w:pStyle w:val="Akapitzlist"/>
        <w:numPr>
          <w:ilvl w:val="0"/>
          <w:numId w:val="40"/>
        </w:numPr>
        <w:tabs>
          <w:tab w:val="left" w:pos="727"/>
        </w:tabs>
        <w:spacing w:line="360" w:lineRule="auto"/>
        <w:rPr>
          <w:rFonts w:ascii="Arial" w:eastAsia="Arial" w:hAnsi="Arial"/>
          <w:sz w:val="24"/>
          <w:szCs w:val="24"/>
        </w:rPr>
      </w:pPr>
      <w:r w:rsidRPr="0098443C">
        <w:rPr>
          <w:rFonts w:ascii="Arial" w:eastAsia="Verdana" w:hAnsi="Arial"/>
          <w:sz w:val="24"/>
          <w:szCs w:val="24"/>
        </w:rPr>
        <w:t>stały monitoring poszczególnych wielkości finansowych i wskaźników,</w:t>
      </w:r>
    </w:p>
    <w:p w14:paraId="40F6FFC6" w14:textId="77777777" w:rsidR="0098443C" w:rsidRPr="0098443C" w:rsidRDefault="00861049" w:rsidP="0098443C">
      <w:pPr>
        <w:pStyle w:val="Akapitzlist"/>
        <w:numPr>
          <w:ilvl w:val="0"/>
          <w:numId w:val="40"/>
        </w:numPr>
        <w:tabs>
          <w:tab w:val="left" w:pos="727"/>
        </w:tabs>
        <w:spacing w:line="360" w:lineRule="auto"/>
        <w:rPr>
          <w:rFonts w:ascii="Arial" w:eastAsia="Arial" w:hAnsi="Arial"/>
          <w:sz w:val="24"/>
          <w:szCs w:val="24"/>
        </w:rPr>
      </w:pPr>
      <w:r w:rsidRPr="0098443C">
        <w:rPr>
          <w:rFonts w:ascii="Arial" w:eastAsia="Verdana" w:hAnsi="Arial"/>
          <w:sz w:val="24"/>
          <w:szCs w:val="24"/>
        </w:rPr>
        <w:t>utrzymywanie marży operacyjnej na poziomie min. 10%,</w:t>
      </w:r>
    </w:p>
    <w:p w14:paraId="770E0831" w14:textId="77777777" w:rsidR="0098443C" w:rsidRPr="0098443C" w:rsidRDefault="00861049" w:rsidP="0098443C">
      <w:pPr>
        <w:pStyle w:val="Akapitzlist"/>
        <w:numPr>
          <w:ilvl w:val="0"/>
          <w:numId w:val="40"/>
        </w:numPr>
        <w:tabs>
          <w:tab w:val="left" w:pos="727"/>
        </w:tabs>
        <w:spacing w:line="360" w:lineRule="auto"/>
        <w:rPr>
          <w:rFonts w:ascii="Arial" w:eastAsia="Arial" w:hAnsi="Arial"/>
          <w:sz w:val="24"/>
          <w:szCs w:val="24"/>
        </w:rPr>
      </w:pPr>
      <w:r w:rsidRPr="0098443C">
        <w:rPr>
          <w:rFonts w:ascii="Arial" w:eastAsia="Verdana" w:hAnsi="Arial"/>
          <w:sz w:val="24"/>
          <w:szCs w:val="24"/>
        </w:rPr>
        <w:t>utrzymywanie poziomu nadwyżki bieżącej co najmniej w wysokości roku ubiegłego</w:t>
      </w:r>
      <w:r w:rsidR="00735A22" w:rsidRPr="0098443C">
        <w:rPr>
          <w:rFonts w:ascii="Arial" w:eastAsia="Verdana" w:hAnsi="Arial"/>
          <w:sz w:val="24"/>
          <w:szCs w:val="24"/>
        </w:rPr>
        <w:t xml:space="preserve">  </w:t>
      </w:r>
      <w:r w:rsidRPr="0098443C">
        <w:rPr>
          <w:rFonts w:ascii="Arial" w:eastAsia="Verdana" w:hAnsi="Arial"/>
          <w:sz w:val="24"/>
          <w:szCs w:val="24"/>
        </w:rPr>
        <w:t>i odpowiednia korekta</w:t>
      </w:r>
      <w:r w:rsidR="00735A22" w:rsidRPr="0098443C">
        <w:rPr>
          <w:rFonts w:ascii="Arial" w:eastAsia="Verdana" w:hAnsi="Arial"/>
          <w:sz w:val="24"/>
          <w:szCs w:val="24"/>
        </w:rPr>
        <w:t xml:space="preserve"> </w:t>
      </w:r>
      <w:r w:rsidRPr="0098443C">
        <w:rPr>
          <w:rFonts w:ascii="Arial" w:eastAsia="Verdana" w:hAnsi="Arial"/>
          <w:sz w:val="24"/>
          <w:szCs w:val="24"/>
        </w:rPr>
        <w:t>wydatków</w:t>
      </w:r>
      <w:r w:rsidR="00735A22" w:rsidRPr="0098443C">
        <w:rPr>
          <w:rFonts w:ascii="Arial" w:eastAsia="Verdana" w:hAnsi="Arial"/>
          <w:sz w:val="24"/>
          <w:szCs w:val="24"/>
        </w:rPr>
        <w:t xml:space="preserve"> </w:t>
      </w:r>
      <w:r w:rsidRPr="0098443C">
        <w:rPr>
          <w:rFonts w:ascii="Arial" w:eastAsia="Verdana" w:hAnsi="Arial"/>
          <w:sz w:val="24"/>
          <w:szCs w:val="24"/>
        </w:rPr>
        <w:t>w</w:t>
      </w:r>
      <w:r w:rsidR="00735A22" w:rsidRPr="0098443C">
        <w:rPr>
          <w:rFonts w:ascii="Arial" w:eastAsia="Verdana" w:hAnsi="Arial"/>
          <w:sz w:val="24"/>
          <w:szCs w:val="24"/>
        </w:rPr>
        <w:t xml:space="preserve"> </w:t>
      </w:r>
      <w:r w:rsidRPr="0098443C">
        <w:rPr>
          <w:rFonts w:ascii="Arial" w:eastAsia="Verdana" w:hAnsi="Arial"/>
          <w:sz w:val="24"/>
          <w:szCs w:val="24"/>
        </w:rPr>
        <w:t>sytuacji</w:t>
      </w:r>
      <w:r w:rsidR="00735A22" w:rsidRPr="0098443C">
        <w:rPr>
          <w:rFonts w:ascii="Arial" w:eastAsia="Verdana" w:hAnsi="Arial"/>
          <w:sz w:val="24"/>
          <w:szCs w:val="24"/>
        </w:rPr>
        <w:t xml:space="preserve"> </w:t>
      </w:r>
      <w:r w:rsidRPr="0098443C">
        <w:rPr>
          <w:rFonts w:ascii="Arial" w:eastAsia="Verdana" w:hAnsi="Arial"/>
          <w:sz w:val="24"/>
          <w:szCs w:val="24"/>
        </w:rPr>
        <w:t>spadku</w:t>
      </w:r>
      <w:r w:rsidR="00735A22" w:rsidRPr="0098443C">
        <w:rPr>
          <w:rFonts w:ascii="Arial" w:eastAsia="Verdana" w:hAnsi="Arial"/>
          <w:sz w:val="24"/>
          <w:szCs w:val="24"/>
        </w:rPr>
        <w:t xml:space="preserve"> </w:t>
      </w:r>
      <w:r w:rsidRPr="0098443C">
        <w:rPr>
          <w:rFonts w:ascii="Arial" w:eastAsia="Verdana" w:hAnsi="Arial"/>
          <w:sz w:val="24"/>
          <w:szCs w:val="24"/>
        </w:rPr>
        <w:t>realizowanych</w:t>
      </w:r>
      <w:r w:rsidR="00735A22" w:rsidRPr="0098443C">
        <w:rPr>
          <w:rFonts w:ascii="Arial" w:eastAsia="Verdana" w:hAnsi="Arial"/>
          <w:sz w:val="24"/>
          <w:szCs w:val="24"/>
        </w:rPr>
        <w:t xml:space="preserve"> </w:t>
      </w:r>
      <w:r w:rsidRPr="0098443C">
        <w:rPr>
          <w:rFonts w:ascii="Arial" w:eastAsia="Verdana" w:hAnsi="Arial"/>
          <w:sz w:val="24"/>
          <w:szCs w:val="24"/>
        </w:rPr>
        <w:t>dochodów w stosunku</w:t>
      </w:r>
      <w:r w:rsidR="00735A22" w:rsidRPr="0098443C">
        <w:rPr>
          <w:rFonts w:ascii="Arial" w:eastAsia="Verdana" w:hAnsi="Arial"/>
          <w:sz w:val="24"/>
          <w:szCs w:val="24"/>
        </w:rPr>
        <w:t xml:space="preserve"> </w:t>
      </w:r>
      <w:r w:rsidRPr="0098443C">
        <w:rPr>
          <w:rFonts w:ascii="Arial" w:eastAsia="Verdana" w:hAnsi="Arial"/>
          <w:sz w:val="24"/>
          <w:szCs w:val="24"/>
        </w:rPr>
        <w:t>do pierwotnie planowanych</w:t>
      </w:r>
      <w:r w:rsidR="004B51A4" w:rsidRPr="0098443C">
        <w:rPr>
          <w:rFonts w:ascii="Arial" w:eastAsia="Verdana" w:hAnsi="Arial"/>
          <w:sz w:val="24"/>
          <w:szCs w:val="24"/>
        </w:rPr>
        <w:t>,</w:t>
      </w:r>
      <w:r w:rsidR="0077156B" w:rsidRPr="0098443C">
        <w:rPr>
          <w:rFonts w:ascii="Arial" w:eastAsia="Verdana" w:hAnsi="Arial"/>
          <w:sz w:val="24"/>
          <w:szCs w:val="24"/>
        </w:rPr>
        <w:t xml:space="preserve"> </w:t>
      </w:r>
    </w:p>
    <w:p w14:paraId="4A622926" w14:textId="4D274850" w:rsidR="00861049" w:rsidRPr="0098443C" w:rsidRDefault="00861049" w:rsidP="0098443C">
      <w:pPr>
        <w:pStyle w:val="Akapitzlist"/>
        <w:numPr>
          <w:ilvl w:val="0"/>
          <w:numId w:val="40"/>
        </w:numPr>
        <w:tabs>
          <w:tab w:val="left" w:pos="727"/>
        </w:tabs>
        <w:spacing w:line="360" w:lineRule="auto"/>
        <w:rPr>
          <w:rFonts w:ascii="Arial" w:eastAsia="Arial" w:hAnsi="Arial"/>
          <w:sz w:val="24"/>
          <w:szCs w:val="24"/>
        </w:rPr>
      </w:pPr>
      <w:r w:rsidRPr="0098443C">
        <w:rPr>
          <w:rFonts w:ascii="Arial" w:eastAsia="Verdana" w:hAnsi="Arial"/>
          <w:sz w:val="24"/>
          <w:szCs w:val="24"/>
        </w:rPr>
        <w:t>utrzymywanie dodatniego poziomu nadwyżki bieżącej netto</w:t>
      </w:r>
      <w:r w:rsidR="0077156B" w:rsidRPr="0098443C">
        <w:rPr>
          <w:rFonts w:ascii="Arial" w:eastAsia="Verdana" w:hAnsi="Arial"/>
          <w:sz w:val="24"/>
          <w:szCs w:val="24"/>
        </w:rPr>
        <w:t>.</w:t>
      </w:r>
      <w:r w:rsidRPr="0098443C">
        <w:rPr>
          <w:rFonts w:ascii="Arial" w:eastAsia="Verdana" w:hAnsi="Arial"/>
          <w:sz w:val="24"/>
          <w:szCs w:val="24"/>
        </w:rPr>
        <w:t xml:space="preserve"> </w:t>
      </w:r>
    </w:p>
    <w:p w14:paraId="706C0D39" w14:textId="77777777" w:rsidR="00861049" w:rsidRPr="007334B2" w:rsidRDefault="00861049" w:rsidP="00735A22">
      <w:pPr>
        <w:tabs>
          <w:tab w:val="left" w:pos="715"/>
        </w:tabs>
        <w:spacing w:line="360" w:lineRule="auto"/>
        <w:ind w:right="140"/>
        <w:rPr>
          <w:rFonts w:ascii="Arial" w:eastAsia="Verdana" w:hAnsi="Arial"/>
          <w:sz w:val="24"/>
          <w:szCs w:val="24"/>
        </w:rPr>
      </w:pPr>
    </w:p>
    <w:p w14:paraId="32D1810E" w14:textId="77777777" w:rsidR="00861049" w:rsidRPr="007334B2" w:rsidRDefault="00861049" w:rsidP="00735A22">
      <w:pPr>
        <w:spacing w:line="360" w:lineRule="auto"/>
        <w:ind w:left="7"/>
        <w:rPr>
          <w:rFonts w:ascii="Arial" w:eastAsia="Verdana" w:hAnsi="Arial"/>
          <w:sz w:val="24"/>
          <w:szCs w:val="24"/>
        </w:rPr>
      </w:pPr>
      <w:r w:rsidRPr="003C2361">
        <w:rPr>
          <w:rFonts w:ascii="Arial" w:eastAsia="Verdana" w:hAnsi="Arial"/>
          <w:b/>
          <w:sz w:val="24"/>
          <w:szCs w:val="24"/>
        </w:rPr>
        <w:t>Ryzyko kursowe</w:t>
      </w:r>
      <w:r w:rsidRPr="007334B2">
        <w:rPr>
          <w:rFonts w:ascii="Arial" w:eastAsia="Verdana" w:hAnsi="Arial"/>
          <w:sz w:val="24"/>
          <w:szCs w:val="24"/>
        </w:rPr>
        <w:t xml:space="preserve"> (aktualnie nie występuje)</w:t>
      </w:r>
    </w:p>
    <w:p w14:paraId="2A50BF4B" w14:textId="77777777" w:rsidR="00861049" w:rsidRPr="007334B2" w:rsidRDefault="00861049" w:rsidP="00735A22">
      <w:pPr>
        <w:numPr>
          <w:ilvl w:val="0"/>
          <w:numId w:val="11"/>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instrumenty zarządzania:</w:t>
      </w:r>
    </w:p>
    <w:p w14:paraId="394B629A" w14:textId="34EF57C5" w:rsidR="00861049" w:rsidRPr="007334B2" w:rsidRDefault="00861049" w:rsidP="0098443C">
      <w:pPr>
        <w:pStyle w:val="Akapitzlist"/>
        <w:numPr>
          <w:ilvl w:val="0"/>
          <w:numId w:val="41"/>
        </w:numPr>
        <w:tabs>
          <w:tab w:val="left" w:pos="715"/>
        </w:tabs>
        <w:spacing w:line="360" w:lineRule="auto"/>
        <w:rPr>
          <w:rFonts w:ascii="Arial" w:eastAsia="Arial" w:hAnsi="Arial"/>
          <w:sz w:val="24"/>
          <w:szCs w:val="24"/>
        </w:rPr>
      </w:pPr>
      <w:r w:rsidRPr="007334B2">
        <w:rPr>
          <w:rFonts w:ascii="Arial" w:eastAsia="Verdana" w:hAnsi="Arial"/>
          <w:sz w:val="24"/>
          <w:szCs w:val="24"/>
        </w:rPr>
        <w:t>korzystanie wyłącznie z instrumentów dłużnych denominowanych w PLN.</w:t>
      </w:r>
    </w:p>
    <w:p w14:paraId="0F5A2B66" w14:textId="77777777" w:rsidR="00861049" w:rsidRPr="007334B2" w:rsidRDefault="00861049" w:rsidP="00735A22">
      <w:pPr>
        <w:tabs>
          <w:tab w:val="left" w:pos="715"/>
        </w:tabs>
        <w:spacing w:line="360" w:lineRule="auto"/>
        <w:ind w:right="140"/>
        <w:rPr>
          <w:rFonts w:ascii="Arial" w:eastAsia="Arial" w:hAnsi="Arial"/>
          <w:sz w:val="24"/>
          <w:szCs w:val="24"/>
        </w:rPr>
      </w:pPr>
    </w:p>
    <w:p w14:paraId="113FACEB" w14:textId="77777777" w:rsidR="00861049" w:rsidRPr="003C2361" w:rsidRDefault="00861049" w:rsidP="00735A22">
      <w:pPr>
        <w:spacing w:line="360" w:lineRule="auto"/>
        <w:ind w:left="7"/>
        <w:rPr>
          <w:rFonts w:ascii="Arial" w:eastAsia="Verdana" w:hAnsi="Arial"/>
          <w:b/>
          <w:sz w:val="24"/>
          <w:szCs w:val="24"/>
        </w:rPr>
      </w:pPr>
      <w:r w:rsidRPr="003C2361">
        <w:rPr>
          <w:rFonts w:ascii="Arial" w:eastAsia="Verdana" w:hAnsi="Arial"/>
          <w:b/>
          <w:sz w:val="24"/>
          <w:szCs w:val="24"/>
        </w:rPr>
        <w:t>Ryzyko organizacyjno-prawne</w:t>
      </w:r>
    </w:p>
    <w:p w14:paraId="52D96413" w14:textId="77777777" w:rsidR="00861049" w:rsidRPr="007334B2" w:rsidRDefault="00861049" w:rsidP="00735A22">
      <w:pPr>
        <w:numPr>
          <w:ilvl w:val="0"/>
          <w:numId w:val="12"/>
        </w:numPr>
        <w:tabs>
          <w:tab w:val="left" w:pos="727"/>
        </w:tabs>
        <w:spacing w:before="240" w:line="360" w:lineRule="auto"/>
        <w:ind w:left="726" w:hanging="726"/>
        <w:rPr>
          <w:rFonts w:ascii="Arial" w:eastAsia="Verdana" w:hAnsi="Arial"/>
          <w:sz w:val="24"/>
          <w:szCs w:val="24"/>
        </w:rPr>
      </w:pPr>
      <w:r w:rsidRPr="007334B2">
        <w:rPr>
          <w:rFonts w:ascii="Arial" w:eastAsia="Verdana" w:hAnsi="Arial"/>
          <w:sz w:val="24"/>
          <w:szCs w:val="24"/>
        </w:rPr>
        <w:t>instrumenty zarządzania:</w:t>
      </w:r>
    </w:p>
    <w:p w14:paraId="45B6C244" w14:textId="77777777" w:rsidR="00223A97" w:rsidRPr="00223A97" w:rsidRDefault="00861049" w:rsidP="00223A97">
      <w:pPr>
        <w:pStyle w:val="Akapitzlist"/>
        <w:numPr>
          <w:ilvl w:val="0"/>
          <w:numId w:val="42"/>
        </w:numPr>
        <w:tabs>
          <w:tab w:val="left" w:pos="727"/>
        </w:tabs>
        <w:spacing w:line="360" w:lineRule="auto"/>
        <w:ind w:right="140"/>
        <w:rPr>
          <w:rFonts w:ascii="Arial" w:eastAsia="Arial" w:hAnsi="Arial"/>
          <w:sz w:val="24"/>
          <w:szCs w:val="24"/>
        </w:rPr>
      </w:pPr>
      <w:r w:rsidRPr="00223A97">
        <w:rPr>
          <w:rFonts w:ascii="Arial" w:eastAsia="Verdana" w:hAnsi="Arial"/>
          <w:sz w:val="24"/>
          <w:szCs w:val="24"/>
        </w:rPr>
        <w:t>przeprowadzanie szczegółowych analiz w zakresie proponowanych zmian przepisów prawnych,</w:t>
      </w:r>
    </w:p>
    <w:p w14:paraId="50A7BB85" w14:textId="77777777" w:rsidR="00223A97" w:rsidRPr="00223A97" w:rsidRDefault="00861049" w:rsidP="00223A97">
      <w:pPr>
        <w:pStyle w:val="Akapitzlist"/>
        <w:numPr>
          <w:ilvl w:val="0"/>
          <w:numId w:val="42"/>
        </w:numPr>
        <w:tabs>
          <w:tab w:val="left" w:pos="727"/>
        </w:tabs>
        <w:spacing w:line="360" w:lineRule="auto"/>
        <w:ind w:right="140"/>
        <w:rPr>
          <w:rFonts w:ascii="Arial" w:eastAsia="Arial" w:hAnsi="Arial"/>
          <w:sz w:val="24"/>
          <w:szCs w:val="24"/>
        </w:rPr>
      </w:pPr>
      <w:r w:rsidRPr="00223A97">
        <w:rPr>
          <w:rFonts w:ascii="Arial" w:eastAsia="Verdana" w:hAnsi="Arial"/>
          <w:sz w:val="24"/>
          <w:szCs w:val="24"/>
        </w:rPr>
        <w:t>dedykowany system informatyczny,</w:t>
      </w:r>
    </w:p>
    <w:p w14:paraId="6B9781C3" w14:textId="19F46A89" w:rsidR="00861049" w:rsidRPr="00223A97" w:rsidRDefault="00861049" w:rsidP="00223A97">
      <w:pPr>
        <w:pStyle w:val="Akapitzlist"/>
        <w:numPr>
          <w:ilvl w:val="0"/>
          <w:numId w:val="42"/>
        </w:numPr>
        <w:tabs>
          <w:tab w:val="left" w:pos="727"/>
        </w:tabs>
        <w:spacing w:line="360" w:lineRule="auto"/>
        <w:ind w:right="140"/>
        <w:rPr>
          <w:rFonts w:ascii="Arial" w:eastAsia="Arial" w:hAnsi="Arial"/>
          <w:sz w:val="24"/>
          <w:szCs w:val="24"/>
        </w:rPr>
        <w:sectPr w:rsidR="00861049" w:rsidRPr="00223A97">
          <w:type w:val="continuous"/>
          <w:pgSz w:w="11900" w:h="16838"/>
          <w:pgMar w:top="1410" w:right="986" w:bottom="425" w:left="1133" w:header="0" w:footer="0" w:gutter="0"/>
          <w:cols w:space="0" w:equalWidth="0">
            <w:col w:w="9787"/>
          </w:cols>
          <w:docGrid w:linePitch="360"/>
        </w:sectPr>
      </w:pPr>
      <w:r w:rsidRPr="00223A97">
        <w:rPr>
          <w:rFonts w:ascii="Arial" w:eastAsia="Verdana" w:hAnsi="Arial"/>
          <w:sz w:val="24"/>
          <w:szCs w:val="24"/>
        </w:rPr>
        <w:t>stosowanie odpowiednich procedur w zakresie zarządzania dł</w:t>
      </w:r>
      <w:r w:rsidR="005B30AC" w:rsidRPr="00223A97">
        <w:rPr>
          <w:rFonts w:ascii="Arial" w:eastAsia="Verdana" w:hAnsi="Arial"/>
          <w:sz w:val="24"/>
          <w:szCs w:val="24"/>
        </w:rPr>
        <w:t>ugiem</w:t>
      </w:r>
      <w:r w:rsidR="007613A7" w:rsidRPr="00223A97">
        <w:rPr>
          <w:rFonts w:ascii="Arial" w:eastAsia="Verdana" w:hAnsi="Arial"/>
          <w:sz w:val="24"/>
          <w:szCs w:val="24"/>
        </w:rPr>
        <w:t>.</w:t>
      </w:r>
    </w:p>
    <w:p w14:paraId="234AFC82" w14:textId="3C622A9A" w:rsidR="008B10D5" w:rsidRPr="007334B2" w:rsidRDefault="008B10D5" w:rsidP="00735A22">
      <w:pPr>
        <w:pStyle w:val="Nagwek1"/>
        <w:spacing w:line="360" w:lineRule="auto"/>
        <w:rPr>
          <w:rFonts w:ascii="Arial" w:hAnsi="Arial" w:cs="Arial"/>
          <w:b/>
          <w:bCs/>
          <w:color w:val="auto"/>
          <w:sz w:val="24"/>
          <w:szCs w:val="24"/>
        </w:rPr>
      </w:pPr>
      <w:bookmarkStart w:id="12" w:name="page16"/>
      <w:bookmarkStart w:id="13" w:name="_Toc109792039"/>
      <w:bookmarkEnd w:id="12"/>
      <w:r w:rsidRPr="007334B2">
        <w:rPr>
          <w:rFonts w:ascii="Arial" w:hAnsi="Arial" w:cs="Arial"/>
          <w:b/>
          <w:bCs/>
          <w:color w:val="auto"/>
          <w:sz w:val="24"/>
          <w:szCs w:val="24"/>
        </w:rPr>
        <w:lastRenderedPageBreak/>
        <w:t>4. Realizacja strategii</w:t>
      </w:r>
      <w:bookmarkEnd w:id="13"/>
    </w:p>
    <w:p w14:paraId="7C7DCB06" w14:textId="3CA415CA" w:rsidR="00FD2094" w:rsidRPr="007334B2" w:rsidRDefault="00735A22" w:rsidP="00735A22">
      <w:pPr>
        <w:autoSpaceDE w:val="0"/>
        <w:autoSpaceDN w:val="0"/>
        <w:adjustRightInd w:val="0"/>
        <w:spacing w:before="240" w:line="360" w:lineRule="auto"/>
        <w:rPr>
          <w:rFonts w:ascii="Arial" w:hAnsi="Arial"/>
          <w:sz w:val="24"/>
          <w:szCs w:val="24"/>
        </w:rPr>
      </w:pPr>
      <w:r w:rsidRPr="007334B2">
        <w:rPr>
          <w:rFonts w:ascii="Arial" w:hAnsi="Arial"/>
          <w:sz w:val="24"/>
          <w:szCs w:val="24"/>
        </w:rPr>
        <w:t xml:space="preserve"> </w:t>
      </w:r>
      <w:r w:rsidR="0032341B" w:rsidRPr="007334B2">
        <w:rPr>
          <w:rFonts w:ascii="Arial" w:hAnsi="Arial"/>
          <w:sz w:val="24"/>
          <w:szCs w:val="24"/>
        </w:rPr>
        <w:t>W strategii zarządzania długiem optymalne rozwiązanie polega nie na eliminacji długu,</w:t>
      </w:r>
      <w:r w:rsidRPr="007334B2">
        <w:rPr>
          <w:rFonts w:ascii="Arial" w:hAnsi="Arial"/>
          <w:sz w:val="24"/>
          <w:szCs w:val="24"/>
        </w:rPr>
        <w:t xml:space="preserve"> </w:t>
      </w:r>
      <w:r w:rsidR="0032341B" w:rsidRPr="007334B2">
        <w:rPr>
          <w:rFonts w:ascii="Arial" w:hAnsi="Arial"/>
          <w:sz w:val="24"/>
          <w:szCs w:val="24"/>
        </w:rPr>
        <w:t xml:space="preserve">ale </w:t>
      </w:r>
      <w:r w:rsidR="000E4202" w:rsidRPr="007334B2">
        <w:rPr>
          <w:rFonts w:ascii="Arial" w:hAnsi="Arial"/>
          <w:sz w:val="24"/>
          <w:szCs w:val="24"/>
        </w:rPr>
        <w:t xml:space="preserve">na </w:t>
      </w:r>
      <w:r w:rsidR="0032341B" w:rsidRPr="007334B2">
        <w:rPr>
          <w:rFonts w:ascii="Arial" w:hAnsi="Arial"/>
          <w:sz w:val="24"/>
          <w:szCs w:val="24"/>
        </w:rPr>
        <w:t>umiejętnym włączeniu go w gospodarkę finansową.</w:t>
      </w:r>
      <w:r w:rsidR="00FD2094" w:rsidRPr="007334B2">
        <w:rPr>
          <w:rFonts w:ascii="Arial" w:hAnsi="Arial"/>
          <w:sz w:val="24"/>
          <w:szCs w:val="24"/>
        </w:rPr>
        <w:t xml:space="preserve"> Zadanie to polega z jednej strony na pozyskiwaniu i utrzymywaniu środków na poziomie zapewniającym terminową realizację zadań</w:t>
      </w:r>
      <w:r w:rsidR="000E4202" w:rsidRPr="007334B2">
        <w:rPr>
          <w:rFonts w:ascii="Arial" w:hAnsi="Arial"/>
          <w:sz w:val="24"/>
          <w:szCs w:val="24"/>
        </w:rPr>
        <w:t>,</w:t>
      </w:r>
      <w:r w:rsidR="00FD2094" w:rsidRPr="007334B2">
        <w:rPr>
          <w:rFonts w:ascii="Arial" w:hAnsi="Arial"/>
          <w:sz w:val="24"/>
          <w:szCs w:val="24"/>
        </w:rPr>
        <w:t xml:space="preserve"> </w:t>
      </w:r>
      <w:r w:rsidR="000E4202" w:rsidRPr="007334B2">
        <w:rPr>
          <w:rFonts w:ascii="Arial" w:hAnsi="Arial"/>
          <w:sz w:val="24"/>
          <w:szCs w:val="24"/>
        </w:rPr>
        <w:t xml:space="preserve">przez co utrzymuje </w:t>
      </w:r>
      <w:r w:rsidR="00FD2094" w:rsidRPr="007334B2">
        <w:rPr>
          <w:rFonts w:ascii="Arial" w:hAnsi="Arial"/>
          <w:sz w:val="24"/>
          <w:szCs w:val="24"/>
        </w:rPr>
        <w:t xml:space="preserve">odporność budżetu na zmieniającą się sytuację rynkową, </w:t>
      </w:r>
      <w:r w:rsidR="000E4202" w:rsidRPr="007334B2">
        <w:rPr>
          <w:rFonts w:ascii="Arial" w:hAnsi="Arial"/>
          <w:sz w:val="24"/>
          <w:szCs w:val="24"/>
        </w:rPr>
        <w:t xml:space="preserve">a </w:t>
      </w:r>
      <w:r w:rsidR="00FD2094" w:rsidRPr="007334B2">
        <w:rPr>
          <w:rFonts w:ascii="Arial" w:hAnsi="Arial"/>
          <w:sz w:val="24"/>
          <w:szCs w:val="24"/>
        </w:rPr>
        <w:t>z drugiej strony na ich inwestowaniu, tak aby koszt ich pozyskania i spłaty był możliwie najniższy.</w:t>
      </w:r>
    </w:p>
    <w:p w14:paraId="714CB947" w14:textId="77777777" w:rsidR="00FD2094" w:rsidRPr="007334B2" w:rsidRDefault="00FD2094" w:rsidP="00735A22">
      <w:pPr>
        <w:autoSpaceDE w:val="0"/>
        <w:autoSpaceDN w:val="0"/>
        <w:adjustRightInd w:val="0"/>
        <w:spacing w:line="360" w:lineRule="auto"/>
        <w:rPr>
          <w:rFonts w:ascii="Arial" w:hAnsi="Arial"/>
          <w:sz w:val="24"/>
          <w:szCs w:val="24"/>
        </w:rPr>
      </w:pPr>
    </w:p>
    <w:p w14:paraId="0EC5BD41" w14:textId="77777777" w:rsidR="008B10D5" w:rsidRPr="007334B2" w:rsidRDefault="008B10D5" w:rsidP="00735A22">
      <w:pPr>
        <w:spacing w:line="360" w:lineRule="auto"/>
        <w:rPr>
          <w:rFonts w:ascii="Arial" w:eastAsia="Verdana" w:hAnsi="Arial"/>
          <w:sz w:val="24"/>
          <w:szCs w:val="24"/>
        </w:rPr>
      </w:pPr>
      <w:r w:rsidRPr="007334B2">
        <w:rPr>
          <w:rFonts w:ascii="Arial" w:eastAsia="Verdana" w:hAnsi="Arial"/>
          <w:sz w:val="24"/>
          <w:szCs w:val="24"/>
        </w:rPr>
        <w:t>Realizacja przyjętego celu strategii zarządzania długiem będzie następować poprzez:</w:t>
      </w:r>
    </w:p>
    <w:p w14:paraId="52FA18AA" w14:textId="77777777" w:rsidR="008B10D5" w:rsidRPr="007334B2" w:rsidRDefault="008B10D5" w:rsidP="00735A22">
      <w:pPr>
        <w:numPr>
          <w:ilvl w:val="0"/>
          <w:numId w:val="13"/>
        </w:numPr>
        <w:tabs>
          <w:tab w:val="left" w:pos="727"/>
        </w:tabs>
        <w:spacing w:line="360" w:lineRule="auto"/>
        <w:ind w:left="727" w:right="140" w:hanging="367"/>
        <w:rPr>
          <w:rFonts w:ascii="Arial" w:eastAsia="Arial" w:hAnsi="Arial"/>
          <w:sz w:val="24"/>
          <w:szCs w:val="24"/>
        </w:rPr>
      </w:pPr>
      <w:r w:rsidRPr="007334B2">
        <w:rPr>
          <w:rFonts w:ascii="Arial" w:eastAsia="Verdana" w:hAnsi="Arial"/>
          <w:sz w:val="24"/>
          <w:szCs w:val="24"/>
        </w:rPr>
        <w:t xml:space="preserve">optymalny dobór instrumentów dłużnych, uwzględniający założenia odnośnie poszczególnych </w:t>
      </w:r>
      <w:proofErr w:type="spellStart"/>
      <w:r w:rsidRPr="007334B2">
        <w:rPr>
          <w:rFonts w:ascii="Arial" w:eastAsia="Verdana" w:hAnsi="Arial"/>
          <w:sz w:val="24"/>
          <w:szCs w:val="24"/>
        </w:rPr>
        <w:t>ryzyk</w:t>
      </w:r>
      <w:proofErr w:type="spellEnd"/>
      <w:r w:rsidRPr="007334B2">
        <w:rPr>
          <w:rFonts w:ascii="Arial" w:eastAsia="Verdana" w:hAnsi="Arial"/>
          <w:sz w:val="24"/>
          <w:szCs w:val="24"/>
        </w:rPr>
        <w:t xml:space="preserve"> (w szczególności ryzyko refinansowania i ryzyko stopy procentowej) w postaci:</w:t>
      </w:r>
    </w:p>
    <w:p w14:paraId="6151BE2D" w14:textId="77777777" w:rsidR="003C2361" w:rsidRDefault="008B10D5" w:rsidP="003C2361">
      <w:pPr>
        <w:pStyle w:val="Akapitzlist"/>
        <w:numPr>
          <w:ilvl w:val="0"/>
          <w:numId w:val="30"/>
        </w:numPr>
        <w:spacing w:line="360" w:lineRule="auto"/>
        <w:rPr>
          <w:rFonts w:ascii="Arial" w:eastAsia="Verdana" w:hAnsi="Arial"/>
          <w:sz w:val="24"/>
          <w:szCs w:val="24"/>
        </w:rPr>
      </w:pPr>
      <w:r w:rsidRPr="003C2361">
        <w:rPr>
          <w:rFonts w:ascii="Arial" w:eastAsia="Verdana" w:hAnsi="Arial"/>
          <w:sz w:val="24"/>
          <w:szCs w:val="24"/>
        </w:rPr>
        <w:t>kredytu w PLN w banku komercyjnym lub obligacji na rynku krajowym,</w:t>
      </w:r>
    </w:p>
    <w:p w14:paraId="5C652802" w14:textId="0B15E07C" w:rsidR="008B10D5" w:rsidRPr="003C2361" w:rsidRDefault="008B10D5" w:rsidP="003C2361">
      <w:pPr>
        <w:pStyle w:val="Akapitzlist"/>
        <w:numPr>
          <w:ilvl w:val="0"/>
          <w:numId w:val="30"/>
        </w:numPr>
        <w:spacing w:line="360" w:lineRule="auto"/>
        <w:rPr>
          <w:rFonts w:ascii="Arial" w:eastAsia="Verdana" w:hAnsi="Arial"/>
          <w:sz w:val="24"/>
          <w:szCs w:val="24"/>
        </w:rPr>
      </w:pPr>
      <w:r w:rsidRPr="003C2361">
        <w:rPr>
          <w:rFonts w:ascii="Arial" w:eastAsia="Verdana" w:hAnsi="Arial"/>
          <w:sz w:val="24"/>
          <w:szCs w:val="24"/>
        </w:rPr>
        <w:t>kredytu w PLN w międzynarodowych instytucjach finansowych na rynku międzynarodowym;</w:t>
      </w:r>
    </w:p>
    <w:p w14:paraId="2FBCC233" w14:textId="77777777" w:rsidR="008B10D5" w:rsidRPr="007334B2" w:rsidRDefault="008B10D5" w:rsidP="00735A22">
      <w:pPr>
        <w:numPr>
          <w:ilvl w:val="0"/>
          <w:numId w:val="13"/>
        </w:numPr>
        <w:tabs>
          <w:tab w:val="left" w:pos="727"/>
        </w:tabs>
        <w:spacing w:line="360" w:lineRule="auto"/>
        <w:ind w:left="727" w:hanging="367"/>
        <w:rPr>
          <w:rFonts w:ascii="Arial" w:eastAsia="Arial" w:hAnsi="Arial"/>
          <w:sz w:val="24"/>
          <w:szCs w:val="24"/>
        </w:rPr>
      </w:pPr>
      <w:r w:rsidRPr="007334B2">
        <w:rPr>
          <w:rFonts w:ascii="Arial" w:eastAsia="Verdana" w:hAnsi="Arial"/>
          <w:sz w:val="24"/>
          <w:szCs w:val="24"/>
        </w:rPr>
        <w:t>utrzymywanie i coroczną aktualizację oceny ratingowej;</w:t>
      </w:r>
    </w:p>
    <w:p w14:paraId="7772E076" w14:textId="77777777" w:rsidR="008B10D5" w:rsidRPr="007334B2" w:rsidRDefault="008B10D5" w:rsidP="00735A22">
      <w:pPr>
        <w:numPr>
          <w:ilvl w:val="0"/>
          <w:numId w:val="13"/>
        </w:numPr>
        <w:tabs>
          <w:tab w:val="left" w:pos="727"/>
        </w:tabs>
        <w:spacing w:line="360" w:lineRule="auto"/>
        <w:ind w:left="727" w:right="140" w:hanging="367"/>
        <w:rPr>
          <w:rFonts w:ascii="Arial" w:eastAsia="Arial" w:hAnsi="Arial"/>
          <w:sz w:val="24"/>
          <w:szCs w:val="24"/>
        </w:rPr>
      </w:pPr>
      <w:r w:rsidRPr="007334B2">
        <w:rPr>
          <w:rFonts w:ascii="Arial" w:eastAsia="Verdana" w:hAnsi="Arial"/>
          <w:sz w:val="24"/>
          <w:szCs w:val="24"/>
        </w:rPr>
        <w:t>ograniczanie ryzyka utraty płynności poprzez stały monitoring systemu zarządzania płynnością, w skład którego wchodzą:</w:t>
      </w:r>
    </w:p>
    <w:p w14:paraId="03EFE7FF" w14:textId="77777777" w:rsidR="009B77CC" w:rsidRDefault="008B10D5" w:rsidP="009B77CC">
      <w:pPr>
        <w:pStyle w:val="Akapitzlist"/>
        <w:numPr>
          <w:ilvl w:val="0"/>
          <w:numId w:val="31"/>
        </w:numPr>
        <w:spacing w:line="360" w:lineRule="auto"/>
        <w:rPr>
          <w:rFonts w:ascii="Arial" w:eastAsia="Verdana" w:hAnsi="Arial"/>
          <w:sz w:val="24"/>
          <w:szCs w:val="24"/>
        </w:rPr>
      </w:pPr>
      <w:r w:rsidRPr="009B77CC">
        <w:rPr>
          <w:rFonts w:ascii="Arial" w:eastAsia="Verdana" w:hAnsi="Arial"/>
          <w:sz w:val="24"/>
          <w:szCs w:val="24"/>
        </w:rPr>
        <w:t>system rachunku skonsolidowanego,</w:t>
      </w:r>
    </w:p>
    <w:p w14:paraId="74EC61BD" w14:textId="77777777" w:rsidR="009B77CC" w:rsidRDefault="008B10D5" w:rsidP="009B77CC">
      <w:pPr>
        <w:pStyle w:val="Akapitzlist"/>
        <w:numPr>
          <w:ilvl w:val="0"/>
          <w:numId w:val="31"/>
        </w:numPr>
        <w:spacing w:line="360" w:lineRule="auto"/>
        <w:rPr>
          <w:rFonts w:ascii="Arial" w:eastAsia="Verdana" w:hAnsi="Arial"/>
          <w:sz w:val="24"/>
          <w:szCs w:val="24"/>
        </w:rPr>
      </w:pPr>
      <w:r w:rsidRPr="009B77CC">
        <w:rPr>
          <w:rFonts w:ascii="Arial" w:eastAsia="Verdana" w:hAnsi="Arial"/>
          <w:sz w:val="24"/>
          <w:szCs w:val="24"/>
        </w:rPr>
        <w:t>kredyt w rachunku skonsolidowanym,</w:t>
      </w:r>
    </w:p>
    <w:p w14:paraId="777C7799" w14:textId="77777777" w:rsidR="009B77CC" w:rsidRDefault="008B10D5" w:rsidP="009B77CC">
      <w:pPr>
        <w:pStyle w:val="Akapitzlist"/>
        <w:numPr>
          <w:ilvl w:val="0"/>
          <w:numId w:val="31"/>
        </w:numPr>
        <w:spacing w:line="360" w:lineRule="auto"/>
        <w:rPr>
          <w:rFonts w:ascii="Arial" w:eastAsia="Verdana" w:hAnsi="Arial"/>
          <w:sz w:val="24"/>
          <w:szCs w:val="24"/>
        </w:rPr>
      </w:pPr>
      <w:r w:rsidRPr="009B77CC">
        <w:rPr>
          <w:rFonts w:ascii="Arial" w:eastAsia="Verdana" w:hAnsi="Arial"/>
          <w:sz w:val="24"/>
          <w:szCs w:val="24"/>
        </w:rPr>
        <w:t>kredyt pomostowy,</w:t>
      </w:r>
    </w:p>
    <w:p w14:paraId="63759717" w14:textId="77777777" w:rsidR="009B77CC" w:rsidRDefault="008B10D5" w:rsidP="009B77CC">
      <w:pPr>
        <w:pStyle w:val="Akapitzlist"/>
        <w:numPr>
          <w:ilvl w:val="0"/>
          <w:numId w:val="31"/>
        </w:numPr>
        <w:spacing w:line="360" w:lineRule="auto"/>
        <w:rPr>
          <w:rFonts w:ascii="Arial" w:eastAsia="Verdana" w:hAnsi="Arial"/>
          <w:sz w:val="24"/>
          <w:szCs w:val="24"/>
        </w:rPr>
      </w:pPr>
      <w:r w:rsidRPr="009B77CC">
        <w:rPr>
          <w:rFonts w:ascii="Arial" w:eastAsia="Verdana" w:hAnsi="Arial"/>
          <w:sz w:val="24"/>
          <w:szCs w:val="24"/>
        </w:rPr>
        <w:t>system lokowania czasowo wolnych środków finansowych będących</w:t>
      </w:r>
      <w:r w:rsidR="00735A22" w:rsidRPr="009B77CC">
        <w:rPr>
          <w:rFonts w:ascii="Arial" w:eastAsia="Verdana" w:hAnsi="Arial"/>
          <w:sz w:val="24"/>
          <w:szCs w:val="24"/>
        </w:rPr>
        <w:t xml:space="preserve"> </w:t>
      </w:r>
      <w:r w:rsidRPr="009B77CC">
        <w:rPr>
          <w:rFonts w:ascii="Arial" w:eastAsia="Verdana" w:hAnsi="Arial"/>
          <w:sz w:val="24"/>
          <w:szCs w:val="24"/>
        </w:rPr>
        <w:t>w dyspozycji Miasta;</w:t>
      </w:r>
    </w:p>
    <w:p w14:paraId="7BABAA53" w14:textId="61D5D5BD" w:rsidR="00861049" w:rsidRPr="009B77CC" w:rsidRDefault="008B10D5" w:rsidP="009B77CC">
      <w:pPr>
        <w:pStyle w:val="Akapitzlist"/>
        <w:numPr>
          <w:ilvl w:val="0"/>
          <w:numId w:val="31"/>
        </w:numPr>
        <w:spacing w:line="360" w:lineRule="auto"/>
        <w:rPr>
          <w:rFonts w:ascii="Arial" w:eastAsia="Verdana" w:hAnsi="Arial"/>
          <w:sz w:val="24"/>
          <w:szCs w:val="24"/>
        </w:rPr>
      </w:pPr>
      <w:r w:rsidRPr="009B77CC">
        <w:rPr>
          <w:rFonts w:ascii="Arial" w:eastAsia="Verdana" w:hAnsi="Arial"/>
          <w:sz w:val="24"/>
          <w:szCs w:val="24"/>
        </w:rPr>
        <w:t>stały monitoring wszystkich wskaźników określonych w niniejszej strategii, wieloletniej prognozie finansowej bądź innych dokumentach o charakterze wewnętrznym.</w:t>
      </w:r>
    </w:p>
    <w:p w14:paraId="7C396A61" w14:textId="77777777" w:rsidR="0032341B" w:rsidRPr="007334B2" w:rsidRDefault="0032341B" w:rsidP="00735A22">
      <w:pPr>
        <w:spacing w:line="360" w:lineRule="auto"/>
        <w:ind w:left="1087"/>
        <w:rPr>
          <w:rFonts w:ascii="Arial" w:eastAsia="Verdana" w:hAnsi="Arial"/>
          <w:sz w:val="24"/>
          <w:szCs w:val="24"/>
        </w:rPr>
      </w:pPr>
    </w:p>
    <w:p w14:paraId="13F1BBBE" w14:textId="3132289F" w:rsidR="0032341B" w:rsidRPr="009B77CC" w:rsidRDefault="0032341B" w:rsidP="009B77CC">
      <w:pPr>
        <w:autoSpaceDE w:val="0"/>
        <w:autoSpaceDN w:val="0"/>
        <w:adjustRightInd w:val="0"/>
        <w:spacing w:line="360" w:lineRule="auto"/>
        <w:rPr>
          <w:rFonts w:ascii="Arial" w:hAnsi="Arial"/>
          <w:sz w:val="24"/>
          <w:szCs w:val="24"/>
        </w:rPr>
      </w:pPr>
      <w:r w:rsidRPr="007334B2">
        <w:rPr>
          <w:rFonts w:ascii="Arial" w:hAnsi="Arial"/>
          <w:sz w:val="24"/>
          <w:szCs w:val="24"/>
        </w:rPr>
        <w:t>Realizację określonych w polityce długu parametrów należy monitorować na bieżąco,</w:t>
      </w:r>
      <w:r w:rsidR="00735A22" w:rsidRPr="007334B2">
        <w:rPr>
          <w:rFonts w:ascii="Arial" w:hAnsi="Arial"/>
          <w:sz w:val="24"/>
          <w:szCs w:val="24"/>
        </w:rPr>
        <w:t xml:space="preserve"> </w:t>
      </w:r>
      <w:r w:rsidRPr="007334B2">
        <w:rPr>
          <w:rFonts w:ascii="Arial" w:hAnsi="Arial"/>
          <w:sz w:val="24"/>
          <w:szCs w:val="24"/>
        </w:rPr>
        <w:t xml:space="preserve">mając na uwadze, że celem nadrzędnym polityki zarządzania długiem pozostaje </w:t>
      </w:r>
      <w:r w:rsidRPr="007334B2">
        <w:rPr>
          <w:rFonts w:ascii="Arial" w:hAnsi="Arial"/>
          <w:sz w:val="24"/>
          <w:szCs w:val="24"/>
        </w:rPr>
        <w:lastRenderedPageBreak/>
        <w:t xml:space="preserve">zapewnienie płynności finansowej. Czynnikami mającymi największy wpływ na efektywność realizacji procesu zarządzania są decyzje dotyczące ryzyka finansowego, źródeł finansowania i ich form, kosztów oraz dywersyfikacji zadłużenia i okresów zapadalności. </w:t>
      </w:r>
    </w:p>
    <w:p w14:paraId="155D0564" w14:textId="77777777" w:rsidR="008B10D5" w:rsidRPr="007334B2" w:rsidRDefault="008B10D5" w:rsidP="00735A22">
      <w:pPr>
        <w:pStyle w:val="Nagwek1"/>
        <w:spacing w:line="360" w:lineRule="auto"/>
        <w:rPr>
          <w:rFonts w:ascii="Arial" w:hAnsi="Arial" w:cs="Arial"/>
          <w:b/>
          <w:color w:val="auto"/>
          <w:sz w:val="24"/>
          <w:szCs w:val="24"/>
        </w:rPr>
      </w:pPr>
      <w:bookmarkStart w:id="14" w:name="_Toc109792040"/>
      <w:r w:rsidRPr="007334B2">
        <w:rPr>
          <w:rFonts w:ascii="Arial" w:hAnsi="Arial" w:cs="Arial"/>
          <w:b/>
          <w:color w:val="auto"/>
          <w:sz w:val="24"/>
          <w:szCs w:val="24"/>
        </w:rPr>
        <w:t>5. Zagrożenia związane z realizacją strategii</w:t>
      </w:r>
      <w:bookmarkEnd w:id="14"/>
    </w:p>
    <w:p w14:paraId="3F4A00DC" w14:textId="4F8CB15C" w:rsidR="008B10D5" w:rsidRPr="007334B2" w:rsidRDefault="008B10D5" w:rsidP="00735A22">
      <w:pPr>
        <w:spacing w:before="240" w:line="360" w:lineRule="auto"/>
        <w:ind w:left="6" w:right="142"/>
        <w:rPr>
          <w:rFonts w:ascii="Arial" w:eastAsia="Verdana" w:hAnsi="Arial"/>
          <w:sz w:val="24"/>
          <w:szCs w:val="24"/>
        </w:rPr>
      </w:pPr>
      <w:r w:rsidRPr="007334B2">
        <w:rPr>
          <w:rFonts w:ascii="Arial" w:eastAsia="Verdana" w:hAnsi="Arial"/>
          <w:sz w:val="24"/>
          <w:szCs w:val="24"/>
        </w:rPr>
        <w:t>Podstawowe zagrożenia dla realizacji niniejszej strategii wynikają głównie z sytuacji makroekonomicznej. Należą do nich przede wszystkim:</w:t>
      </w:r>
    </w:p>
    <w:p w14:paraId="150FD164" w14:textId="5A4F5E3C" w:rsidR="008B10D5" w:rsidRPr="007334B2" w:rsidRDefault="008B10D5" w:rsidP="006C346C">
      <w:pPr>
        <w:numPr>
          <w:ilvl w:val="0"/>
          <w:numId w:val="32"/>
        </w:numPr>
        <w:tabs>
          <w:tab w:val="left" w:pos="727"/>
        </w:tabs>
        <w:spacing w:before="240" w:line="360" w:lineRule="auto"/>
        <w:rPr>
          <w:rFonts w:ascii="Arial" w:eastAsia="Arial" w:hAnsi="Arial"/>
          <w:sz w:val="24"/>
          <w:szCs w:val="24"/>
        </w:rPr>
      </w:pPr>
      <w:r w:rsidRPr="007334B2">
        <w:rPr>
          <w:rFonts w:ascii="Arial" w:eastAsia="Verdana" w:hAnsi="Arial"/>
          <w:sz w:val="24"/>
          <w:szCs w:val="24"/>
        </w:rPr>
        <w:t>niższe tempo wzrostu gospodarczego</w:t>
      </w:r>
      <w:r w:rsidR="00BF1088" w:rsidRPr="007334B2">
        <w:rPr>
          <w:rFonts w:ascii="Arial" w:eastAsia="Verdana" w:hAnsi="Arial"/>
          <w:sz w:val="24"/>
          <w:szCs w:val="24"/>
        </w:rPr>
        <w:t>;</w:t>
      </w:r>
    </w:p>
    <w:p w14:paraId="1AE09829" w14:textId="51E91111" w:rsidR="008B10D5" w:rsidRPr="007334B2" w:rsidRDefault="008B10D5" w:rsidP="006C346C">
      <w:pPr>
        <w:numPr>
          <w:ilvl w:val="0"/>
          <w:numId w:val="32"/>
        </w:numPr>
        <w:tabs>
          <w:tab w:val="left" w:pos="727"/>
        </w:tabs>
        <w:spacing w:line="360" w:lineRule="auto"/>
        <w:rPr>
          <w:rFonts w:ascii="Arial" w:eastAsia="Arial" w:hAnsi="Arial"/>
          <w:sz w:val="24"/>
          <w:szCs w:val="24"/>
        </w:rPr>
      </w:pPr>
      <w:r w:rsidRPr="007334B2">
        <w:rPr>
          <w:rFonts w:ascii="Arial" w:eastAsia="Verdana" w:hAnsi="Arial"/>
          <w:sz w:val="24"/>
          <w:szCs w:val="24"/>
        </w:rPr>
        <w:t>utrzymująca się w dłuższej perspektywie czasowej wysoka inflacja</w:t>
      </w:r>
      <w:r w:rsidR="00BF1088" w:rsidRPr="007334B2">
        <w:rPr>
          <w:rFonts w:ascii="Arial" w:eastAsia="Verdana" w:hAnsi="Arial"/>
          <w:sz w:val="24"/>
          <w:szCs w:val="24"/>
        </w:rPr>
        <w:t>;</w:t>
      </w:r>
    </w:p>
    <w:p w14:paraId="353A2487" w14:textId="1CDF48BC" w:rsidR="008B10D5" w:rsidRPr="007334B2" w:rsidRDefault="008B10D5" w:rsidP="006C346C">
      <w:pPr>
        <w:numPr>
          <w:ilvl w:val="0"/>
          <w:numId w:val="32"/>
        </w:numPr>
        <w:tabs>
          <w:tab w:val="left" w:pos="707"/>
        </w:tabs>
        <w:spacing w:line="360" w:lineRule="auto"/>
        <w:ind w:right="140"/>
        <w:rPr>
          <w:rFonts w:ascii="Arial" w:eastAsia="Arial" w:hAnsi="Arial"/>
          <w:sz w:val="24"/>
          <w:szCs w:val="24"/>
        </w:rPr>
      </w:pPr>
      <w:r w:rsidRPr="007334B2">
        <w:rPr>
          <w:rFonts w:ascii="Arial" w:eastAsia="Verdana" w:hAnsi="Arial"/>
          <w:sz w:val="24"/>
          <w:szCs w:val="24"/>
        </w:rPr>
        <w:t xml:space="preserve">destabilizacja gospodarki krajowej i międzynarodowej w dłuższej perspektywie czasowej, w tym związana </w:t>
      </w:r>
      <w:r w:rsidR="00BF1088" w:rsidRPr="007334B2">
        <w:rPr>
          <w:rFonts w:ascii="Arial" w:eastAsia="Verdana" w:hAnsi="Arial"/>
          <w:sz w:val="24"/>
          <w:szCs w:val="24"/>
        </w:rPr>
        <w:t xml:space="preserve">z wojną na Ukrainie, jak również </w:t>
      </w:r>
      <w:r w:rsidRPr="007334B2">
        <w:rPr>
          <w:rFonts w:ascii="Arial" w:eastAsia="Verdana" w:hAnsi="Arial"/>
          <w:sz w:val="24"/>
          <w:szCs w:val="24"/>
        </w:rPr>
        <w:t xml:space="preserve">z </w:t>
      </w:r>
      <w:r w:rsidR="00BF1088" w:rsidRPr="007334B2">
        <w:rPr>
          <w:rFonts w:ascii="Arial" w:eastAsia="Verdana" w:hAnsi="Arial"/>
          <w:sz w:val="24"/>
          <w:szCs w:val="24"/>
        </w:rPr>
        <w:t>pandemią</w:t>
      </w:r>
      <w:r w:rsidRPr="007334B2">
        <w:rPr>
          <w:rFonts w:ascii="Arial" w:eastAsia="Verdana" w:hAnsi="Arial"/>
          <w:sz w:val="24"/>
          <w:szCs w:val="24"/>
        </w:rPr>
        <w:t xml:space="preserve"> COVID-19</w:t>
      </w:r>
      <w:r w:rsidR="00BF1088" w:rsidRPr="007334B2">
        <w:rPr>
          <w:rFonts w:ascii="Arial" w:eastAsia="Verdana" w:hAnsi="Arial"/>
          <w:sz w:val="24"/>
          <w:szCs w:val="24"/>
        </w:rPr>
        <w:t>;</w:t>
      </w:r>
    </w:p>
    <w:p w14:paraId="12981B66" w14:textId="499CFA2C" w:rsidR="008B10D5" w:rsidRPr="007334B2" w:rsidRDefault="008B10D5" w:rsidP="006C346C">
      <w:pPr>
        <w:numPr>
          <w:ilvl w:val="0"/>
          <w:numId w:val="32"/>
        </w:numPr>
        <w:tabs>
          <w:tab w:val="left" w:pos="707"/>
        </w:tabs>
        <w:spacing w:line="360" w:lineRule="auto"/>
        <w:rPr>
          <w:rFonts w:ascii="Arial" w:eastAsia="Arial" w:hAnsi="Arial"/>
          <w:sz w:val="24"/>
          <w:szCs w:val="24"/>
        </w:rPr>
      </w:pPr>
      <w:r w:rsidRPr="007334B2">
        <w:rPr>
          <w:rFonts w:ascii="Arial" w:eastAsia="Verdana" w:hAnsi="Arial"/>
          <w:sz w:val="24"/>
          <w:szCs w:val="24"/>
        </w:rPr>
        <w:t>znacz</w:t>
      </w:r>
      <w:r w:rsidR="00BF1088" w:rsidRPr="007334B2">
        <w:rPr>
          <w:rFonts w:ascii="Arial" w:eastAsia="Verdana" w:hAnsi="Arial"/>
          <w:sz w:val="24"/>
          <w:szCs w:val="24"/>
        </w:rPr>
        <w:t>ny</w:t>
      </w:r>
      <w:r w:rsidRPr="007334B2">
        <w:rPr>
          <w:rFonts w:ascii="Arial" w:eastAsia="Verdana" w:hAnsi="Arial"/>
          <w:sz w:val="24"/>
          <w:szCs w:val="24"/>
        </w:rPr>
        <w:t xml:space="preserve"> wzrost stóp procentowych w dalszej perspektywie czasowej</w:t>
      </w:r>
      <w:r w:rsidR="00BF1088" w:rsidRPr="007334B2">
        <w:rPr>
          <w:rFonts w:ascii="Arial" w:eastAsia="Verdana" w:hAnsi="Arial"/>
          <w:sz w:val="24"/>
          <w:szCs w:val="24"/>
        </w:rPr>
        <w:t>;</w:t>
      </w:r>
    </w:p>
    <w:p w14:paraId="705FCF0D" w14:textId="0D448B44" w:rsidR="008B10D5" w:rsidRPr="007334B2" w:rsidRDefault="008B10D5" w:rsidP="006C346C">
      <w:pPr>
        <w:numPr>
          <w:ilvl w:val="0"/>
          <w:numId w:val="32"/>
        </w:numPr>
        <w:tabs>
          <w:tab w:val="left" w:pos="727"/>
        </w:tabs>
        <w:spacing w:line="360" w:lineRule="auto"/>
        <w:ind w:right="140"/>
        <w:rPr>
          <w:rFonts w:ascii="Arial" w:eastAsia="Arial" w:hAnsi="Arial"/>
          <w:strike/>
          <w:sz w:val="24"/>
          <w:szCs w:val="24"/>
        </w:rPr>
      </w:pPr>
      <w:r w:rsidRPr="007334B2">
        <w:rPr>
          <w:rFonts w:ascii="Arial" w:eastAsia="Verdana" w:hAnsi="Arial"/>
          <w:sz w:val="24"/>
          <w:szCs w:val="24"/>
        </w:rPr>
        <w:t>zaostrzanie wskaźników zadłużenia obowiązujących jednostki samorządu terytorialnego (ograniczające możliwości zadłużania samorządów pomimo istnienia faktycznych możliwości spłaty długu)</w:t>
      </w:r>
      <w:r w:rsidR="00BF1088" w:rsidRPr="007334B2">
        <w:rPr>
          <w:rFonts w:ascii="Arial" w:eastAsia="Verdana" w:hAnsi="Arial"/>
          <w:sz w:val="24"/>
          <w:szCs w:val="24"/>
        </w:rPr>
        <w:t>;</w:t>
      </w:r>
    </w:p>
    <w:p w14:paraId="26970C00" w14:textId="10D262BA" w:rsidR="008B10D5" w:rsidRPr="007334B2" w:rsidRDefault="008B10D5" w:rsidP="006C346C">
      <w:pPr>
        <w:numPr>
          <w:ilvl w:val="0"/>
          <w:numId w:val="32"/>
        </w:numPr>
        <w:tabs>
          <w:tab w:val="left" w:pos="727"/>
        </w:tabs>
        <w:spacing w:line="360" w:lineRule="auto"/>
        <w:rPr>
          <w:rFonts w:ascii="Arial" w:eastAsia="Arial" w:hAnsi="Arial"/>
          <w:sz w:val="24"/>
          <w:szCs w:val="24"/>
        </w:rPr>
      </w:pPr>
      <w:r w:rsidRPr="007334B2">
        <w:rPr>
          <w:rFonts w:ascii="Arial" w:eastAsia="Verdana" w:hAnsi="Arial"/>
          <w:sz w:val="24"/>
          <w:szCs w:val="24"/>
        </w:rPr>
        <w:t>mniejsze niż zakładane bądź brak wsparcia z funduszy unijnych</w:t>
      </w:r>
      <w:r w:rsidR="00BF1088" w:rsidRPr="007334B2">
        <w:rPr>
          <w:rFonts w:ascii="Arial" w:eastAsia="Verdana" w:hAnsi="Arial"/>
          <w:sz w:val="24"/>
          <w:szCs w:val="24"/>
        </w:rPr>
        <w:t>;</w:t>
      </w:r>
    </w:p>
    <w:p w14:paraId="0BB43398" w14:textId="67F9EA5F" w:rsidR="008B10D5" w:rsidRPr="007334B2" w:rsidRDefault="008B10D5" w:rsidP="006C346C">
      <w:pPr>
        <w:numPr>
          <w:ilvl w:val="0"/>
          <w:numId w:val="32"/>
        </w:numPr>
        <w:tabs>
          <w:tab w:val="left" w:pos="701"/>
        </w:tabs>
        <w:spacing w:line="360" w:lineRule="auto"/>
        <w:ind w:right="140"/>
        <w:rPr>
          <w:rFonts w:ascii="Arial" w:eastAsia="Arial" w:hAnsi="Arial"/>
          <w:sz w:val="24"/>
          <w:szCs w:val="24"/>
        </w:rPr>
      </w:pPr>
      <w:r w:rsidRPr="007334B2">
        <w:rPr>
          <w:rFonts w:ascii="Arial" w:eastAsia="Verdana" w:hAnsi="Arial"/>
          <w:sz w:val="24"/>
          <w:szCs w:val="24"/>
        </w:rPr>
        <w:t>znaczący spadek dochodów z tytułu udziałów w podatku od osób fizycznych</w:t>
      </w:r>
      <w:r w:rsidR="007613A7" w:rsidRPr="007334B2">
        <w:rPr>
          <w:rFonts w:ascii="Arial" w:eastAsia="Verdana" w:hAnsi="Arial"/>
          <w:sz w:val="24"/>
          <w:szCs w:val="24"/>
        </w:rPr>
        <w:t xml:space="preserve"> i prawnych</w:t>
      </w:r>
      <w:r w:rsidR="00735A22" w:rsidRPr="007334B2">
        <w:rPr>
          <w:rFonts w:ascii="Arial" w:eastAsia="Verdana" w:hAnsi="Arial"/>
          <w:sz w:val="24"/>
          <w:szCs w:val="24"/>
        </w:rPr>
        <w:t xml:space="preserve"> </w:t>
      </w:r>
      <w:r w:rsidRPr="007334B2">
        <w:rPr>
          <w:rFonts w:ascii="Arial" w:eastAsia="Verdana" w:hAnsi="Arial"/>
          <w:sz w:val="24"/>
          <w:szCs w:val="24"/>
        </w:rPr>
        <w:t xml:space="preserve">będący efektem </w:t>
      </w:r>
      <w:r w:rsidR="00244639" w:rsidRPr="007334B2">
        <w:rPr>
          <w:rFonts w:ascii="Arial" w:eastAsia="Verdana" w:hAnsi="Arial"/>
          <w:sz w:val="24"/>
          <w:szCs w:val="24"/>
        </w:rPr>
        <w:t>wprowadzonego</w:t>
      </w:r>
      <w:r w:rsidRPr="007334B2">
        <w:rPr>
          <w:rFonts w:ascii="Arial" w:eastAsia="Verdana" w:hAnsi="Arial"/>
          <w:sz w:val="24"/>
          <w:szCs w:val="24"/>
        </w:rPr>
        <w:t xml:space="preserve"> przez rząd podwyższenia do 30 tys. </w:t>
      </w:r>
      <w:r w:rsidR="00244639" w:rsidRPr="007334B2">
        <w:rPr>
          <w:rFonts w:ascii="Arial" w:eastAsia="Verdana" w:hAnsi="Arial"/>
          <w:sz w:val="24"/>
          <w:szCs w:val="24"/>
        </w:rPr>
        <w:t xml:space="preserve">zł </w:t>
      </w:r>
      <w:r w:rsidRPr="007334B2">
        <w:rPr>
          <w:rFonts w:ascii="Arial" w:eastAsia="Verdana" w:hAnsi="Arial"/>
          <w:sz w:val="24"/>
          <w:szCs w:val="24"/>
        </w:rPr>
        <w:t>kwoty wolnej od podatku, który wpłynie na obniżenie nadwyżki i marży operacyjnej</w:t>
      </w:r>
      <w:r w:rsidR="00BF1088" w:rsidRPr="007334B2">
        <w:rPr>
          <w:rFonts w:ascii="Arial" w:eastAsia="Verdana" w:hAnsi="Arial"/>
          <w:sz w:val="24"/>
          <w:szCs w:val="24"/>
        </w:rPr>
        <w:t>;</w:t>
      </w:r>
    </w:p>
    <w:p w14:paraId="043B24F7" w14:textId="79403B59" w:rsidR="008B10D5" w:rsidRPr="007334B2" w:rsidRDefault="008B10D5" w:rsidP="006C346C">
      <w:pPr>
        <w:numPr>
          <w:ilvl w:val="0"/>
          <w:numId w:val="32"/>
        </w:numPr>
        <w:tabs>
          <w:tab w:val="left" w:pos="700"/>
        </w:tabs>
        <w:spacing w:line="360" w:lineRule="auto"/>
        <w:ind w:right="140"/>
        <w:rPr>
          <w:rFonts w:ascii="Arial" w:eastAsia="Arial" w:hAnsi="Arial"/>
          <w:sz w:val="24"/>
          <w:szCs w:val="24"/>
        </w:rPr>
      </w:pPr>
      <w:r w:rsidRPr="007334B2">
        <w:rPr>
          <w:rFonts w:ascii="Arial" w:eastAsia="Verdana" w:hAnsi="Arial"/>
          <w:sz w:val="24"/>
          <w:szCs w:val="24"/>
        </w:rPr>
        <w:t>wyższa dynamika wzrostu wydatków bieżących w stosunku do dochodów bieżących związana z nakładaniem na samorządy nowych obowiązków bez zapewnienia ich finansowania</w:t>
      </w:r>
      <w:r w:rsidR="00BF1088" w:rsidRPr="007334B2">
        <w:rPr>
          <w:rFonts w:ascii="Arial" w:eastAsia="Verdana" w:hAnsi="Arial"/>
          <w:sz w:val="24"/>
          <w:szCs w:val="24"/>
        </w:rPr>
        <w:t xml:space="preserve"> oraz</w:t>
      </w:r>
      <w:r w:rsidRPr="007334B2">
        <w:rPr>
          <w:rFonts w:ascii="Arial" w:eastAsia="Verdana" w:hAnsi="Arial"/>
          <w:sz w:val="24"/>
          <w:szCs w:val="24"/>
        </w:rPr>
        <w:t xml:space="preserve"> niedoszacowaniem kosztów zadań zleconych czy </w:t>
      </w:r>
      <w:r w:rsidR="00BF1088" w:rsidRPr="007334B2">
        <w:rPr>
          <w:rFonts w:ascii="Arial" w:eastAsia="Verdana" w:hAnsi="Arial"/>
          <w:sz w:val="24"/>
          <w:szCs w:val="24"/>
        </w:rPr>
        <w:t>znacznie</w:t>
      </w:r>
      <w:r w:rsidRPr="007334B2">
        <w:rPr>
          <w:rFonts w:ascii="Arial" w:eastAsia="Verdana" w:hAnsi="Arial"/>
          <w:sz w:val="24"/>
          <w:szCs w:val="24"/>
        </w:rPr>
        <w:t xml:space="preserve"> niższą dynamiką wzrostu subwencji oświatowej w stosunku do wzrostu wydatków w oświacie.</w:t>
      </w:r>
    </w:p>
    <w:p w14:paraId="5EEB3A16" w14:textId="722D2596" w:rsidR="00FD2094" w:rsidRPr="007334B2" w:rsidRDefault="008B10D5" w:rsidP="00735A22">
      <w:pPr>
        <w:spacing w:before="240" w:line="360" w:lineRule="auto"/>
        <w:rPr>
          <w:rFonts w:ascii="Arial" w:eastAsia="Verdana" w:hAnsi="Arial"/>
          <w:sz w:val="24"/>
          <w:szCs w:val="24"/>
        </w:rPr>
      </w:pPr>
      <w:r w:rsidRPr="007334B2">
        <w:rPr>
          <w:rFonts w:ascii="Arial" w:eastAsia="Verdana" w:hAnsi="Arial"/>
          <w:sz w:val="24"/>
          <w:szCs w:val="24"/>
        </w:rPr>
        <w:t xml:space="preserve">W celu zabezpieczenia się przed ewentualnym negatywnym wpływem czynników wskazanych powyżej, prowadzony jest stały monitoring wszystkich parametrów. Wszystkie obligatoryjne ograniczenia wynikające z ustawy o finansach publicznych </w:t>
      </w:r>
      <w:r w:rsidRPr="007334B2">
        <w:rPr>
          <w:rFonts w:ascii="Arial" w:eastAsia="Verdana" w:hAnsi="Arial"/>
          <w:sz w:val="24"/>
          <w:szCs w:val="24"/>
        </w:rPr>
        <w:lastRenderedPageBreak/>
        <w:t>zostają zachowane. Sytuacja gospodarcza wywołana pandemią COVID-19 nie pogorszyła znacząco wskaźników finansowych Miasta, natomiast przygotowana przez rząd kompleksowa strategia przezwyciężenia skutków pandemii zwana Polskim Ładem, bez wprowadzenia odpowiednich rozwiązań dla samorządów pokrywających ubytek dochodów z tego tytułu, może w przyszłości negatywnie odbić się na sytuacji finansowej</w:t>
      </w:r>
      <w:r w:rsidR="00FD2094" w:rsidRPr="007334B2">
        <w:rPr>
          <w:rFonts w:ascii="Arial" w:eastAsia="Verdana" w:hAnsi="Arial"/>
          <w:sz w:val="24"/>
          <w:szCs w:val="24"/>
        </w:rPr>
        <w:t xml:space="preserve"> Miasta</w:t>
      </w:r>
      <w:r w:rsidRPr="007334B2">
        <w:rPr>
          <w:rFonts w:ascii="Arial" w:eastAsia="Verdana" w:hAnsi="Arial"/>
          <w:sz w:val="24"/>
          <w:szCs w:val="24"/>
        </w:rPr>
        <w:t xml:space="preserve">. </w:t>
      </w:r>
    </w:p>
    <w:p w14:paraId="6D73B240" w14:textId="40905C04" w:rsidR="00B16CE3" w:rsidRPr="007334B2" w:rsidRDefault="008B10D5" w:rsidP="00735A22">
      <w:pPr>
        <w:spacing w:line="360" w:lineRule="auto"/>
        <w:rPr>
          <w:rFonts w:ascii="Arial" w:eastAsia="Verdana" w:hAnsi="Arial"/>
          <w:sz w:val="24"/>
          <w:szCs w:val="24"/>
        </w:rPr>
      </w:pPr>
      <w:r w:rsidRPr="007334B2">
        <w:rPr>
          <w:rFonts w:ascii="Arial" w:eastAsia="Verdana" w:hAnsi="Arial"/>
          <w:sz w:val="24"/>
          <w:szCs w:val="24"/>
        </w:rPr>
        <w:t xml:space="preserve">Miasto nie rezygnuje z zaplanowanych inwestycji, </w:t>
      </w:r>
      <w:r w:rsidR="00BD053C" w:rsidRPr="007334B2">
        <w:rPr>
          <w:rFonts w:ascii="Arial" w:eastAsia="Verdana" w:hAnsi="Arial"/>
          <w:sz w:val="24"/>
          <w:szCs w:val="24"/>
        </w:rPr>
        <w:t>bowiem</w:t>
      </w:r>
      <w:r w:rsidRPr="007334B2">
        <w:rPr>
          <w:rFonts w:ascii="Arial" w:eastAsia="Verdana" w:hAnsi="Arial"/>
          <w:sz w:val="24"/>
          <w:szCs w:val="24"/>
        </w:rPr>
        <w:t xml:space="preserve"> wspierają </w:t>
      </w:r>
      <w:r w:rsidR="00BD053C" w:rsidRPr="007334B2">
        <w:rPr>
          <w:rFonts w:ascii="Arial" w:eastAsia="Verdana" w:hAnsi="Arial"/>
          <w:sz w:val="24"/>
          <w:szCs w:val="24"/>
        </w:rPr>
        <w:t xml:space="preserve">one </w:t>
      </w:r>
      <w:r w:rsidRPr="007334B2">
        <w:rPr>
          <w:rFonts w:ascii="Arial" w:eastAsia="Verdana" w:hAnsi="Arial"/>
          <w:sz w:val="24"/>
          <w:szCs w:val="24"/>
        </w:rPr>
        <w:t>potencjał gospodarczy w regionie. Zakłada się utrzymanie optymalnego poziomu nadwyżki operacyjnej</w:t>
      </w:r>
      <w:r w:rsidR="00BD053C" w:rsidRPr="007334B2">
        <w:rPr>
          <w:rFonts w:ascii="Arial" w:eastAsia="Verdana" w:hAnsi="Arial"/>
          <w:sz w:val="24"/>
          <w:szCs w:val="24"/>
        </w:rPr>
        <w:t xml:space="preserve"> </w:t>
      </w:r>
      <w:r w:rsidRPr="007334B2">
        <w:rPr>
          <w:rFonts w:ascii="Arial" w:eastAsia="Verdana" w:hAnsi="Arial"/>
          <w:sz w:val="24"/>
          <w:szCs w:val="24"/>
        </w:rPr>
        <w:t>w kolejnych latach, któr</w:t>
      </w:r>
      <w:r w:rsidR="00BD053C" w:rsidRPr="007334B2">
        <w:rPr>
          <w:rFonts w:ascii="Arial" w:eastAsia="Verdana" w:hAnsi="Arial"/>
          <w:sz w:val="24"/>
          <w:szCs w:val="24"/>
        </w:rPr>
        <w:t>y</w:t>
      </w:r>
      <w:r w:rsidRPr="007334B2">
        <w:rPr>
          <w:rFonts w:ascii="Arial" w:eastAsia="Verdana" w:hAnsi="Arial"/>
          <w:sz w:val="24"/>
          <w:szCs w:val="24"/>
        </w:rPr>
        <w:t xml:space="preserve"> </w:t>
      </w:r>
      <w:r w:rsidR="00BD053C" w:rsidRPr="007334B2">
        <w:rPr>
          <w:rFonts w:ascii="Arial" w:eastAsia="Verdana" w:hAnsi="Arial"/>
          <w:sz w:val="24"/>
          <w:szCs w:val="24"/>
        </w:rPr>
        <w:t>może pomóc zrównoważyć</w:t>
      </w:r>
      <w:r w:rsidRPr="007334B2">
        <w:rPr>
          <w:rFonts w:ascii="Arial" w:eastAsia="Verdana" w:hAnsi="Arial"/>
          <w:sz w:val="24"/>
          <w:szCs w:val="24"/>
        </w:rPr>
        <w:t xml:space="preserve"> ewentualne wystąpienie negatywnych zjawisk. </w:t>
      </w:r>
    </w:p>
    <w:p w14:paraId="5692F978" w14:textId="66325C79" w:rsidR="008B10D5" w:rsidRPr="007334B2" w:rsidRDefault="008B10D5" w:rsidP="00735A22">
      <w:pPr>
        <w:spacing w:line="360" w:lineRule="auto"/>
        <w:rPr>
          <w:rFonts w:ascii="Arial" w:hAnsi="Arial"/>
          <w:sz w:val="24"/>
          <w:szCs w:val="24"/>
        </w:rPr>
      </w:pPr>
      <w:r w:rsidRPr="007334B2">
        <w:rPr>
          <w:rFonts w:ascii="Arial" w:hAnsi="Arial"/>
          <w:sz w:val="24"/>
          <w:szCs w:val="24"/>
        </w:rPr>
        <w:t>Każde planowane działanie będzie skierowane na osiągnięcie celu przedstawionego</w:t>
      </w:r>
      <w:r w:rsidR="00735A22" w:rsidRPr="007334B2">
        <w:rPr>
          <w:rFonts w:ascii="Arial" w:hAnsi="Arial"/>
          <w:sz w:val="24"/>
          <w:szCs w:val="24"/>
        </w:rPr>
        <w:t xml:space="preserve"> </w:t>
      </w:r>
      <w:r w:rsidRPr="007334B2">
        <w:rPr>
          <w:rFonts w:ascii="Arial" w:hAnsi="Arial"/>
          <w:sz w:val="24"/>
          <w:szCs w:val="24"/>
        </w:rPr>
        <w:t>w niniejszej strategii, czyli pozyskania finansowania zwrotnego umożliwiającego terminową realizację zadań Miasta</w:t>
      </w:r>
      <w:r w:rsidR="00471D55" w:rsidRPr="007334B2">
        <w:rPr>
          <w:rFonts w:ascii="Arial" w:hAnsi="Arial"/>
          <w:sz w:val="24"/>
          <w:szCs w:val="24"/>
        </w:rPr>
        <w:t>,</w:t>
      </w:r>
      <w:r w:rsidRPr="007334B2">
        <w:rPr>
          <w:rFonts w:ascii="Arial" w:hAnsi="Arial"/>
          <w:sz w:val="24"/>
          <w:szCs w:val="24"/>
        </w:rPr>
        <w:t xml:space="preserve"> przy zachowaniu bezpieczeństwa środków publicznych.</w:t>
      </w:r>
      <w:r w:rsidR="00735A22" w:rsidRPr="007334B2">
        <w:rPr>
          <w:rFonts w:ascii="Arial" w:hAnsi="Arial"/>
          <w:sz w:val="24"/>
          <w:szCs w:val="24"/>
        </w:rPr>
        <w:t xml:space="preserve"> </w:t>
      </w:r>
    </w:p>
    <w:sectPr w:rsidR="008B10D5" w:rsidRPr="007334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DADC" w14:textId="77777777" w:rsidR="00EE0207" w:rsidRDefault="00EE0207" w:rsidP="008B10D5">
      <w:r>
        <w:separator/>
      </w:r>
    </w:p>
  </w:endnote>
  <w:endnote w:type="continuationSeparator" w:id="0">
    <w:p w14:paraId="160AD507" w14:textId="77777777" w:rsidR="00EE0207" w:rsidRDefault="00EE0207" w:rsidP="008B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9859" w14:textId="33761118" w:rsidR="0026130C" w:rsidRDefault="006964C7" w:rsidP="006964C7">
    <w:pPr>
      <w:pStyle w:val="Stopka"/>
      <w:tabs>
        <w:tab w:val="clear" w:pos="4536"/>
        <w:tab w:val="clear" w:pos="9072"/>
        <w:tab w:val="center" w:pos="4647"/>
      </w:tabs>
    </w:pPr>
    <w:r>
      <w:tab/>
    </w:r>
  </w:p>
  <w:p w14:paraId="62904044" w14:textId="4A4BB9E7" w:rsidR="006964C7" w:rsidRDefault="001D41B6" w:rsidP="006964C7">
    <w:pPr>
      <w:pStyle w:val="Stopka"/>
      <w:tabs>
        <w:tab w:val="clear" w:pos="4536"/>
        <w:tab w:val="clear" w:pos="9072"/>
        <w:tab w:val="center" w:pos="4647"/>
      </w:tabs>
      <w:rPr>
        <w:noProof/>
      </w:rPr>
    </w:pPr>
    <w:r w:rsidRPr="001D41B6">
      <w:rPr>
        <w:noProof/>
      </w:rPr>
      <w:t>Projekt: „WŁOCŁAWEK – MIASTO NOWYCH MOŻLIWOŚCI. Tutaj mieszkam, pracuję, inwestuję i tu wypoczywam”, finansowany w ramach Programu</w:t>
    </w:r>
    <w:r w:rsidR="00735A22">
      <w:rPr>
        <w:noProof/>
      </w:rPr>
      <w:t xml:space="preserve"> </w:t>
    </w:r>
    <w:r w:rsidRPr="001D41B6">
      <w:rPr>
        <w:noProof/>
      </w:rPr>
      <w:t>„Rozwój Lokalny” za środków Mechanizmu Finansowego EOG (85) oraz Budżetu Państwa (15%).</w:t>
    </w:r>
  </w:p>
  <w:p w14:paraId="1A104987" w14:textId="47A1889D" w:rsidR="006964C7" w:rsidRDefault="006964C7" w:rsidP="00861049">
    <w:pPr>
      <w:pStyle w:val="Stopka"/>
      <w:tabs>
        <w:tab w:val="clear" w:pos="4536"/>
        <w:tab w:val="clear" w:pos="9072"/>
        <w:tab w:val="center" w:pos="4647"/>
      </w:tabs>
      <w:jc w:val="center"/>
    </w:pPr>
  </w:p>
  <w:p w14:paraId="2224F806" w14:textId="77777777" w:rsidR="00861049" w:rsidRDefault="00861049" w:rsidP="00861049">
    <w:pPr>
      <w:pStyle w:val="Stopka"/>
      <w:tabs>
        <w:tab w:val="clear" w:pos="4536"/>
        <w:tab w:val="clear" w:pos="9072"/>
        <w:tab w:val="center" w:pos="464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A150" w14:textId="77777777" w:rsidR="00EE0207" w:rsidRDefault="00EE0207" w:rsidP="008B10D5">
      <w:r>
        <w:separator/>
      </w:r>
    </w:p>
  </w:footnote>
  <w:footnote w:type="continuationSeparator" w:id="0">
    <w:p w14:paraId="77756E30" w14:textId="77777777" w:rsidR="00EE0207" w:rsidRDefault="00EE0207" w:rsidP="008B1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AD75" w14:textId="7F3140E6" w:rsidR="00DC65C0" w:rsidRDefault="00DC65C0">
    <w:pPr>
      <w:pStyle w:val="Nagwek"/>
      <w:jc w:val="right"/>
      <w:rPr>
        <w:color w:val="4472C4" w:themeColor="accent1"/>
        <w:sz w:val="28"/>
        <w:szCs w:val="28"/>
      </w:rPr>
    </w:pPr>
  </w:p>
  <w:p w14:paraId="123F4842" w14:textId="77777777" w:rsidR="008B10D5" w:rsidRDefault="008B10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D7CA50A"/>
    <w:lvl w:ilvl="0" w:tplc="D042056A">
      <w:start w:val="1"/>
      <w:numFmt w:val="bullet"/>
      <w:lvlText w:val=""/>
      <w:lvlJc w:val="left"/>
      <w:rPr>
        <w:rFonts w:ascii="Symbol" w:hAnsi="Symbol" w:cs="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BEC9F5C"/>
    <w:lvl w:ilvl="0" w:tplc="DC30D14E">
      <w:start w:val="1"/>
      <w:numFmt w:val="decimal"/>
      <w:lvlText w:val="%1)"/>
      <w:lvlJc w:val="left"/>
      <w:rPr>
        <w:i w:val="0"/>
        <w:iCs/>
      </w:rPr>
    </w:lvl>
    <w:lvl w:ilvl="1" w:tplc="D042056A">
      <w:start w:val="1"/>
      <w:numFmt w:val="bullet"/>
      <w:lvlText w:val=""/>
      <w:lvlJc w:val="left"/>
      <w:pPr>
        <w:ind w:left="720" w:hanging="360"/>
      </w:pPr>
      <w:rPr>
        <w:rFonts w:ascii="Symbol" w:hAnsi="Symbol" w:cs="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EC449762"/>
    <w:lvl w:ilvl="0" w:tplc="D042056A">
      <w:start w:val="1"/>
      <w:numFmt w:val="bullet"/>
      <w:lvlText w:val=""/>
      <w:lvlJc w:val="left"/>
      <w:rPr>
        <w:rFonts w:ascii="Symbol" w:hAnsi="Symbol" w:cs="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F7FE54AA"/>
    <w:lvl w:ilvl="0" w:tplc="FFFFFFFF">
      <w:start w:val="1"/>
      <w:numFmt w:val="decimal"/>
      <w:lvlText w:val="%1)"/>
      <w:lvlJc w:val="left"/>
    </w:lvl>
    <w:lvl w:ilvl="1" w:tplc="D042056A">
      <w:start w:val="1"/>
      <w:numFmt w:val="bullet"/>
      <w:lvlText w:val=""/>
      <w:lvlJc w:val="left"/>
      <w:pPr>
        <w:ind w:left="360" w:hanging="360"/>
      </w:pPr>
      <w:rPr>
        <w:rFonts w:ascii="Symbol" w:hAnsi="Symbol" w:cs="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7C1808F6"/>
    <w:lvl w:ilvl="0" w:tplc="FFFFFFFF">
      <w:start w:val="1"/>
      <w:numFmt w:val="decimal"/>
      <w:lvlText w:val="%1)"/>
      <w:lvlJc w:val="left"/>
    </w:lvl>
    <w:lvl w:ilvl="1" w:tplc="D042056A">
      <w:start w:val="1"/>
      <w:numFmt w:val="bullet"/>
      <w:lvlText w:val=""/>
      <w:lvlJc w:val="left"/>
      <w:pPr>
        <w:ind w:left="360" w:hanging="360"/>
      </w:pPr>
      <w:rPr>
        <w:rFonts w:ascii="Symbol" w:hAnsi="Symbol" w:cs="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AF3E7F3C"/>
    <w:lvl w:ilvl="0" w:tplc="D042056A">
      <w:start w:val="1"/>
      <w:numFmt w:val="bullet"/>
      <w:lvlText w:val=""/>
      <w:lvlJc w:val="left"/>
      <w:rPr>
        <w:rFonts w:ascii="Symbol" w:hAnsi="Symbol" w:cs="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BE4C0B78"/>
    <w:lvl w:ilvl="0" w:tplc="FFFFFFFF">
      <w:start w:val="1"/>
      <w:numFmt w:val="decimal"/>
      <w:lvlText w:val="%1)"/>
      <w:lvlJc w:val="left"/>
    </w:lvl>
    <w:lvl w:ilvl="1" w:tplc="D042056A">
      <w:start w:val="1"/>
      <w:numFmt w:val="bullet"/>
      <w:lvlText w:val=""/>
      <w:lvlJc w:val="left"/>
      <w:pPr>
        <w:ind w:left="360" w:hanging="360"/>
      </w:pPr>
      <w:rPr>
        <w:rFonts w:ascii="Symbol" w:hAnsi="Symbol" w:cs="Symbol" w:hint="default"/>
      </w:rPr>
    </w:lvl>
    <w:lvl w:ilvl="2" w:tplc="0415000B">
      <w:start w:val="1"/>
      <w:numFmt w:val="bullet"/>
      <w:lvlText w:val=""/>
      <w:lvlJc w:val="left"/>
      <w:pPr>
        <w:ind w:left="360" w:hanging="360"/>
      </w:pPr>
      <w:rPr>
        <w:rFonts w:ascii="Wingdings" w:hAnsi="Wingding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FBE04F28"/>
    <w:lvl w:ilvl="0" w:tplc="FFFFFFFF">
      <w:start w:val="1"/>
      <w:numFmt w:val="decimal"/>
      <w:lvlText w:val="%1)"/>
      <w:lvlJc w:val="left"/>
    </w:lvl>
    <w:lvl w:ilvl="1" w:tplc="D042056A">
      <w:start w:val="1"/>
      <w:numFmt w:val="bullet"/>
      <w:lvlText w:val=""/>
      <w:lvlJc w:val="left"/>
      <w:pPr>
        <w:ind w:left="720" w:hanging="360"/>
      </w:pPr>
      <w:rPr>
        <w:rFonts w:ascii="Symbol" w:hAnsi="Symbol" w:cs="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489C056E"/>
    <w:lvl w:ilvl="0" w:tplc="D042056A">
      <w:start w:val="1"/>
      <w:numFmt w:val="bullet"/>
      <w:lvlText w:val=""/>
      <w:lvlJc w:val="left"/>
      <w:rPr>
        <w:rFonts w:ascii="Symbol" w:hAnsi="Symbol" w:cs="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FB5A6996"/>
    <w:lvl w:ilvl="0" w:tplc="D042056A">
      <w:start w:val="1"/>
      <w:numFmt w:val="bullet"/>
      <w:lvlText w:val=""/>
      <w:lvlJc w:val="left"/>
      <w:rPr>
        <w:rFonts w:ascii="Symbol" w:hAnsi="Symbol" w:cs="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0CD2139A"/>
    <w:lvl w:ilvl="0" w:tplc="D042056A">
      <w:start w:val="1"/>
      <w:numFmt w:val="bullet"/>
      <w:lvlText w:val=""/>
      <w:lvlJc w:val="left"/>
      <w:rPr>
        <w:rFonts w:ascii="Symbol" w:hAnsi="Symbol" w:cs="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441631E"/>
    <w:multiLevelType w:val="hybridMultilevel"/>
    <w:tmpl w:val="0BBA2C7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6673FDF"/>
    <w:multiLevelType w:val="hybridMultilevel"/>
    <w:tmpl w:val="39F01D16"/>
    <w:lvl w:ilvl="0" w:tplc="D042056A">
      <w:start w:val="1"/>
      <w:numFmt w:val="bullet"/>
      <w:lvlText w:val=""/>
      <w:lvlJc w:val="left"/>
      <w:pPr>
        <w:ind w:left="1447" w:hanging="360"/>
      </w:pPr>
      <w:rPr>
        <w:rFonts w:ascii="Symbol" w:hAnsi="Symbol" w:cs="Symbol" w:hint="default"/>
      </w:rPr>
    </w:lvl>
    <w:lvl w:ilvl="1" w:tplc="04150003" w:tentative="1">
      <w:start w:val="1"/>
      <w:numFmt w:val="bullet"/>
      <w:lvlText w:val="o"/>
      <w:lvlJc w:val="left"/>
      <w:pPr>
        <w:ind w:left="2167" w:hanging="360"/>
      </w:pPr>
      <w:rPr>
        <w:rFonts w:ascii="Courier New" w:hAnsi="Courier New" w:cs="Courier New"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17" w15:restartNumberingAfterBreak="0">
    <w:nsid w:val="21531EAA"/>
    <w:multiLevelType w:val="hybridMultilevel"/>
    <w:tmpl w:val="5088E84C"/>
    <w:lvl w:ilvl="0" w:tplc="0415000B">
      <w:start w:val="1"/>
      <w:numFmt w:val="bullet"/>
      <w:lvlText w:val=""/>
      <w:lvlJc w:val="left"/>
      <w:pPr>
        <w:ind w:left="1087" w:hanging="360"/>
      </w:pPr>
      <w:rPr>
        <w:rFonts w:ascii="Wingdings" w:hAnsi="Wingdings" w:hint="default"/>
      </w:rPr>
    </w:lvl>
    <w:lvl w:ilvl="1" w:tplc="04150003" w:tentative="1">
      <w:start w:val="1"/>
      <w:numFmt w:val="bullet"/>
      <w:lvlText w:val="o"/>
      <w:lvlJc w:val="left"/>
      <w:pPr>
        <w:ind w:left="1807" w:hanging="360"/>
      </w:pPr>
      <w:rPr>
        <w:rFonts w:ascii="Courier New" w:hAnsi="Courier New" w:cs="Courier New" w:hint="default"/>
      </w:rPr>
    </w:lvl>
    <w:lvl w:ilvl="2" w:tplc="04150005" w:tentative="1">
      <w:start w:val="1"/>
      <w:numFmt w:val="bullet"/>
      <w:lvlText w:val=""/>
      <w:lvlJc w:val="left"/>
      <w:pPr>
        <w:ind w:left="2527" w:hanging="360"/>
      </w:pPr>
      <w:rPr>
        <w:rFonts w:ascii="Wingdings" w:hAnsi="Wingdings" w:hint="default"/>
      </w:rPr>
    </w:lvl>
    <w:lvl w:ilvl="3" w:tplc="04150001" w:tentative="1">
      <w:start w:val="1"/>
      <w:numFmt w:val="bullet"/>
      <w:lvlText w:val=""/>
      <w:lvlJc w:val="left"/>
      <w:pPr>
        <w:ind w:left="3247" w:hanging="360"/>
      </w:pPr>
      <w:rPr>
        <w:rFonts w:ascii="Symbol" w:hAnsi="Symbol" w:hint="default"/>
      </w:rPr>
    </w:lvl>
    <w:lvl w:ilvl="4" w:tplc="04150003" w:tentative="1">
      <w:start w:val="1"/>
      <w:numFmt w:val="bullet"/>
      <w:lvlText w:val="o"/>
      <w:lvlJc w:val="left"/>
      <w:pPr>
        <w:ind w:left="3967" w:hanging="360"/>
      </w:pPr>
      <w:rPr>
        <w:rFonts w:ascii="Courier New" w:hAnsi="Courier New" w:cs="Courier New" w:hint="default"/>
      </w:rPr>
    </w:lvl>
    <w:lvl w:ilvl="5" w:tplc="04150005" w:tentative="1">
      <w:start w:val="1"/>
      <w:numFmt w:val="bullet"/>
      <w:lvlText w:val=""/>
      <w:lvlJc w:val="left"/>
      <w:pPr>
        <w:ind w:left="4687" w:hanging="360"/>
      </w:pPr>
      <w:rPr>
        <w:rFonts w:ascii="Wingdings" w:hAnsi="Wingdings" w:hint="default"/>
      </w:rPr>
    </w:lvl>
    <w:lvl w:ilvl="6" w:tplc="04150001" w:tentative="1">
      <w:start w:val="1"/>
      <w:numFmt w:val="bullet"/>
      <w:lvlText w:val=""/>
      <w:lvlJc w:val="left"/>
      <w:pPr>
        <w:ind w:left="5407" w:hanging="360"/>
      </w:pPr>
      <w:rPr>
        <w:rFonts w:ascii="Symbol" w:hAnsi="Symbol" w:hint="default"/>
      </w:rPr>
    </w:lvl>
    <w:lvl w:ilvl="7" w:tplc="04150003" w:tentative="1">
      <w:start w:val="1"/>
      <w:numFmt w:val="bullet"/>
      <w:lvlText w:val="o"/>
      <w:lvlJc w:val="left"/>
      <w:pPr>
        <w:ind w:left="6127" w:hanging="360"/>
      </w:pPr>
      <w:rPr>
        <w:rFonts w:ascii="Courier New" w:hAnsi="Courier New" w:cs="Courier New" w:hint="default"/>
      </w:rPr>
    </w:lvl>
    <w:lvl w:ilvl="8" w:tplc="04150005" w:tentative="1">
      <w:start w:val="1"/>
      <w:numFmt w:val="bullet"/>
      <w:lvlText w:val=""/>
      <w:lvlJc w:val="left"/>
      <w:pPr>
        <w:ind w:left="6847" w:hanging="360"/>
      </w:pPr>
      <w:rPr>
        <w:rFonts w:ascii="Wingdings" w:hAnsi="Wingdings" w:hint="default"/>
      </w:rPr>
    </w:lvl>
  </w:abstractNum>
  <w:abstractNum w:abstractNumId="18" w15:restartNumberingAfterBreak="0">
    <w:nsid w:val="22816391"/>
    <w:multiLevelType w:val="hybridMultilevel"/>
    <w:tmpl w:val="092E688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7F65A6"/>
    <w:multiLevelType w:val="hybridMultilevel"/>
    <w:tmpl w:val="A3325422"/>
    <w:lvl w:ilvl="0" w:tplc="04150001">
      <w:start w:val="1"/>
      <w:numFmt w:val="bullet"/>
      <w:lvlText w:val=""/>
      <w:lvlJc w:val="left"/>
      <w:pPr>
        <w:ind w:left="1807" w:hanging="360"/>
      </w:pPr>
      <w:rPr>
        <w:rFonts w:ascii="Symbol" w:hAnsi="Symbol" w:cs="Symbol" w:hint="default"/>
      </w:rPr>
    </w:lvl>
    <w:lvl w:ilvl="1" w:tplc="04150003" w:tentative="1">
      <w:start w:val="1"/>
      <w:numFmt w:val="bullet"/>
      <w:lvlText w:val="o"/>
      <w:lvlJc w:val="left"/>
      <w:pPr>
        <w:ind w:left="2527" w:hanging="360"/>
      </w:pPr>
      <w:rPr>
        <w:rFonts w:ascii="Courier New" w:hAnsi="Courier New" w:cs="Courier New" w:hint="default"/>
      </w:rPr>
    </w:lvl>
    <w:lvl w:ilvl="2" w:tplc="04150005" w:tentative="1">
      <w:start w:val="1"/>
      <w:numFmt w:val="bullet"/>
      <w:lvlText w:val=""/>
      <w:lvlJc w:val="left"/>
      <w:pPr>
        <w:ind w:left="3247" w:hanging="360"/>
      </w:pPr>
      <w:rPr>
        <w:rFonts w:ascii="Wingdings" w:hAnsi="Wingdings" w:hint="default"/>
      </w:rPr>
    </w:lvl>
    <w:lvl w:ilvl="3" w:tplc="04150001" w:tentative="1">
      <w:start w:val="1"/>
      <w:numFmt w:val="bullet"/>
      <w:lvlText w:val=""/>
      <w:lvlJc w:val="left"/>
      <w:pPr>
        <w:ind w:left="3967" w:hanging="360"/>
      </w:pPr>
      <w:rPr>
        <w:rFonts w:ascii="Symbol" w:hAnsi="Symbol" w:hint="default"/>
      </w:rPr>
    </w:lvl>
    <w:lvl w:ilvl="4" w:tplc="04150003" w:tentative="1">
      <w:start w:val="1"/>
      <w:numFmt w:val="bullet"/>
      <w:lvlText w:val="o"/>
      <w:lvlJc w:val="left"/>
      <w:pPr>
        <w:ind w:left="4687" w:hanging="360"/>
      </w:pPr>
      <w:rPr>
        <w:rFonts w:ascii="Courier New" w:hAnsi="Courier New" w:cs="Courier New" w:hint="default"/>
      </w:rPr>
    </w:lvl>
    <w:lvl w:ilvl="5" w:tplc="04150005" w:tentative="1">
      <w:start w:val="1"/>
      <w:numFmt w:val="bullet"/>
      <w:lvlText w:val=""/>
      <w:lvlJc w:val="left"/>
      <w:pPr>
        <w:ind w:left="5407" w:hanging="360"/>
      </w:pPr>
      <w:rPr>
        <w:rFonts w:ascii="Wingdings" w:hAnsi="Wingdings" w:hint="default"/>
      </w:rPr>
    </w:lvl>
    <w:lvl w:ilvl="6" w:tplc="04150001" w:tentative="1">
      <w:start w:val="1"/>
      <w:numFmt w:val="bullet"/>
      <w:lvlText w:val=""/>
      <w:lvlJc w:val="left"/>
      <w:pPr>
        <w:ind w:left="6127" w:hanging="360"/>
      </w:pPr>
      <w:rPr>
        <w:rFonts w:ascii="Symbol" w:hAnsi="Symbol" w:hint="default"/>
      </w:rPr>
    </w:lvl>
    <w:lvl w:ilvl="7" w:tplc="04150003" w:tentative="1">
      <w:start w:val="1"/>
      <w:numFmt w:val="bullet"/>
      <w:lvlText w:val="o"/>
      <w:lvlJc w:val="left"/>
      <w:pPr>
        <w:ind w:left="6847" w:hanging="360"/>
      </w:pPr>
      <w:rPr>
        <w:rFonts w:ascii="Courier New" w:hAnsi="Courier New" w:cs="Courier New" w:hint="default"/>
      </w:rPr>
    </w:lvl>
    <w:lvl w:ilvl="8" w:tplc="04150005" w:tentative="1">
      <w:start w:val="1"/>
      <w:numFmt w:val="bullet"/>
      <w:lvlText w:val=""/>
      <w:lvlJc w:val="left"/>
      <w:pPr>
        <w:ind w:left="7567" w:hanging="360"/>
      </w:pPr>
      <w:rPr>
        <w:rFonts w:ascii="Wingdings" w:hAnsi="Wingdings" w:hint="default"/>
      </w:rPr>
    </w:lvl>
  </w:abstractNum>
  <w:abstractNum w:abstractNumId="20" w15:restartNumberingAfterBreak="0">
    <w:nsid w:val="24DB153F"/>
    <w:multiLevelType w:val="hybridMultilevel"/>
    <w:tmpl w:val="ABFEB86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A37A96"/>
    <w:multiLevelType w:val="hybridMultilevel"/>
    <w:tmpl w:val="2152C88C"/>
    <w:lvl w:ilvl="0" w:tplc="04150001">
      <w:start w:val="1"/>
      <w:numFmt w:val="bullet"/>
      <w:lvlText w:val=""/>
      <w:lvlJc w:val="left"/>
      <w:pPr>
        <w:ind w:left="1807" w:hanging="360"/>
      </w:pPr>
      <w:rPr>
        <w:rFonts w:ascii="Symbol" w:hAnsi="Symbol" w:cs="Symbol" w:hint="default"/>
      </w:rPr>
    </w:lvl>
    <w:lvl w:ilvl="1" w:tplc="04150003" w:tentative="1">
      <w:start w:val="1"/>
      <w:numFmt w:val="bullet"/>
      <w:lvlText w:val="o"/>
      <w:lvlJc w:val="left"/>
      <w:pPr>
        <w:ind w:left="2527" w:hanging="360"/>
      </w:pPr>
      <w:rPr>
        <w:rFonts w:ascii="Courier New" w:hAnsi="Courier New" w:cs="Courier New" w:hint="default"/>
      </w:rPr>
    </w:lvl>
    <w:lvl w:ilvl="2" w:tplc="04150005" w:tentative="1">
      <w:start w:val="1"/>
      <w:numFmt w:val="bullet"/>
      <w:lvlText w:val=""/>
      <w:lvlJc w:val="left"/>
      <w:pPr>
        <w:ind w:left="3247" w:hanging="360"/>
      </w:pPr>
      <w:rPr>
        <w:rFonts w:ascii="Wingdings" w:hAnsi="Wingdings" w:hint="default"/>
      </w:rPr>
    </w:lvl>
    <w:lvl w:ilvl="3" w:tplc="04150001" w:tentative="1">
      <w:start w:val="1"/>
      <w:numFmt w:val="bullet"/>
      <w:lvlText w:val=""/>
      <w:lvlJc w:val="left"/>
      <w:pPr>
        <w:ind w:left="3967" w:hanging="360"/>
      </w:pPr>
      <w:rPr>
        <w:rFonts w:ascii="Symbol" w:hAnsi="Symbol" w:hint="default"/>
      </w:rPr>
    </w:lvl>
    <w:lvl w:ilvl="4" w:tplc="04150003" w:tentative="1">
      <w:start w:val="1"/>
      <w:numFmt w:val="bullet"/>
      <w:lvlText w:val="o"/>
      <w:lvlJc w:val="left"/>
      <w:pPr>
        <w:ind w:left="4687" w:hanging="360"/>
      </w:pPr>
      <w:rPr>
        <w:rFonts w:ascii="Courier New" w:hAnsi="Courier New" w:cs="Courier New" w:hint="default"/>
      </w:rPr>
    </w:lvl>
    <w:lvl w:ilvl="5" w:tplc="04150005" w:tentative="1">
      <w:start w:val="1"/>
      <w:numFmt w:val="bullet"/>
      <w:lvlText w:val=""/>
      <w:lvlJc w:val="left"/>
      <w:pPr>
        <w:ind w:left="5407" w:hanging="360"/>
      </w:pPr>
      <w:rPr>
        <w:rFonts w:ascii="Wingdings" w:hAnsi="Wingdings" w:hint="default"/>
      </w:rPr>
    </w:lvl>
    <w:lvl w:ilvl="6" w:tplc="04150001" w:tentative="1">
      <w:start w:val="1"/>
      <w:numFmt w:val="bullet"/>
      <w:lvlText w:val=""/>
      <w:lvlJc w:val="left"/>
      <w:pPr>
        <w:ind w:left="6127" w:hanging="360"/>
      </w:pPr>
      <w:rPr>
        <w:rFonts w:ascii="Symbol" w:hAnsi="Symbol" w:hint="default"/>
      </w:rPr>
    </w:lvl>
    <w:lvl w:ilvl="7" w:tplc="04150003" w:tentative="1">
      <w:start w:val="1"/>
      <w:numFmt w:val="bullet"/>
      <w:lvlText w:val="o"/>
      <w:lvlJc w:val="left"/>
      <w:pPr>
        <w:ind w:left="6847" w:hanging="360"/>
      </w:pPr>
      <w:rPr>
        <w:rFonts w:ascii="Courier New" w:hAnsi="Courier New" w:cs="Courier New" w:hint="default"/>
      </w:rPr>
    </w:lvl>
    <w:lvl w:ilvl="8" w:tplc="04150005" w:tentative="1">
      <w:start w:val="1"/>
      <w:numFmt w:val="bullet"/>
      <w:lvlText w:val=""/>
      <w:lvlJc w:val="left"/>
      <w:pPr>
        <w:ind w:left="7567" w:hanging="360"/>
      </w:pPr>
      <w:rPr>
        <w:rFonts w:ascii="Wingdings" w:hAnsi="Wingdings" w:hint="default"/>
      </w:rPr>
    </w:lvl>
  </w:abstractNum>
  <w:abstractNum w:abstractNumId="22" w15:restartNumberingAfterBreak="0">
    <w:nsid w:val="350708BE"/>
    <w:multiLevelType w:val="hybridMultilevel"/>
    <w:tmpl w:val="FE5A77E6"/>
    <w:lvl w:ilvl="0" w:tplc="D042056A">
      <w:start w:val="1"/>
      <w:numFmt w:val="bullet"/>
      <w:lvlText w:val=""/>
      <w:lvlJc w:val="left"/>
      <w:pPr>
        <w:ind w:left="1447" w:hanging="360"/>
      </w:pPr>
      <w:rPr>
        <w:rFonts w:ascii="Symbol" w:hAnsi="Symbol" w:cs="Symbol" w:hint="default"/>
      </w:rPr>
    </w:lvl>
    <w:lvl w:ilvl="1" w:tplc="04150003" w:tentative="1">
      <w:start w:val="1"/>
      <w:numFmt w:val="bullet"/>
      <w:lvlText w:val="o"/>
      <w:lvlJc w:val="left"/>
      <w:pPr>
        <w:ind w:left="2167" w:hanging="360"/>
      </w:pPr>
      <w:rPr>
        <w:rFonts w:ascii="Courier New" w:hAnsi="Courier New" w:cs="Courier New"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23" w15:restartNumberingAfterBreak="0">
    <w:nsid w:val="3A54612C"/>
    <w:multiLevelType w:val="hybridMultilevel"/>
    <w:tmpl w:val="3E38545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AB6AE8"/>
    <w:multiLevelType w:val="hybridMultilevel"/>
    <w:tmpl w:val="3E244B76"/>
    <w:lvl w:ilvl="0" w:tplc="D042056A">
      <w:start w:val="1"/>
      <w:numFmt w:val="bullet"/>
      <w:lvlText w:val=""/>
      <w:lvlJc w:val="left"/>
      <w:pPr>
        <w:ind w:left="1447" w:hanging="360"/>
      </w:pPr>
      <w:rPr>
        <w:rFonts w:ascii="Symbol" w:hAnsi="Symbol" w:cs="Symbol" w:hint="default"/>
      </w:rPr>
    </w:lvl>
    <w:lvl w:ilvl="1" w:tplc="04150003" w:tentative="1">
      <w:start w:val="1"/>
      <w:numFmt w:val="bullet"/>
      <w:lvlText w:val="o"/>
      <w:lvlJc w:val="left"/>
      <w:pPr>
        <w:ind w:left="2167" w:hanging="360"/>
      </w:pPr>
      <w:rPr>
        <w:rFonts w:ascii="Courier New" w:hAnsi="Courier New" w:cs="Courier New"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25" w15:restartNumberingAfterBreak="0">
    <w:nsid w:val="40BE79CB"/>
    <w:multiLevelType w:val="hybridMultilevel"/>
    <w:tmpl w:val="5A1AF89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4F2C26"/>
    <w:multiLevelType w:val="hybridMultilevel"/>
    <w:tmpl w:val="D7962680"/>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340CD8"/>
    <w:multiLevelType w:val="hybridMultilevel"/>
    <w:tmpl w:val="E06E84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8D579B"/>
    <w:multiLevelType w:val="hybridMultilevel"/>
    <w:tmpl w:val="4B18600E"/>
    <w:lvl w:ilvl="0" w:tplc="D042056A">
      <w:start w:val="1"/>
      <w:numFmt w:val="bullet"/>
      <w:lvlText w:val=""/>
      <w:lvlJc w:val="left"/>
      <w:pPr>
        <w:ind w:left="1447" w:hanging="360"/>
      </w:pPr>
      <w:rPr>
        <w:rFonts w:ascii="Symbol" w:hAnsi="Symbol" w:cs="Symbol" w:hint="default"/>
      </w:rPr>
    </w:lvl>
    <w:lvl w:ilvl="1" w:tplc="04150003" w:tentative="1">
      <w:start w:val="1"/>
      <w:numFmt w:val="bullet"/>
      <w:lvlText w:val="o"/>
      <w:lvlJc w:val="left"/>
      <w:pPr>
        <w:ind w:left="2167" w:hanging="360"/>
      </w:pPr>
      <w:rPr>
        <w:rFonts w:ascii="Courier New" w:hAnsi="Courier New" w:cs="Courier New"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29" w15:restartNumberingAfterBreak="0">
    <w:nsid w:val="4E9B5024"/>
    <w:multiLevelType w:val="hybridMultilevel"/>
    <w:tmpl w:val="6DE2D512"/>
    <w:lvl w:ilvl="0" w:tplc="D042056A">
      <w:start w:val="1"/>
      <w:numFmt w:val="bullet"/>
      <w:lvlText w:val=""/>
      <w:lvlJc w:val="left"/>
      <w:pPr>
        <w:ind w:left="1447" w:hanging="360"/>
      </w:pPr>
      <w:rPr>
        <w:rFonts w:ascii="Symbol" w:hAnsi="Symbol" w:cs="Symbol" w:hint="default"/>
      </w:rPr>
    </w:lvl>
    <w:lvl w:ilvl="1" w:tplc="04150003" w:tentative="1">
      <w:start w:val="1"/>
      <w:numFmt w:val="bullet"/>
      <w:lvlText w:val="o"/>
      <w:lvlJc w:val="left"/>
      <w:pPr>
        <w:ind w:left="2167" w:hanging="360"/>
      </w:pPr>
      <w:rPr>
        <w:rFonts w:ascii="Courier New" w:hAnsi="Courier New" w:cs="Courier New"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0" w15:restartNumberingAfterBreak="0">
    <w:nsid w:val="4F7C1B94"/>
    <w:multiLevelType w:val="hybridMultilevel"/>
    <w:tmpl w:val="7C2C466A"/>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521B86"/>
    <w:multiLevelType w:val="hybridMultilevel"/>
    <w:tmpl w:val="0A2EFE28"/>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505458"/>
    <w:multiLevelType w:val="hybridMultilevel"/>
    <w:tmpl w:val="F664EA64"/>
    <w:lvl w:ilvl="0" w:tplc="0415000B">
      <w:start w:val="1"/>
      <w:numFmt w:val="bullet"/>
      <w:lvlText w:val=""/>
      <w:lvlJc w:val="left"/>
      <w:pPr>
        <w:ind w:left="1073" w:hanging="360"/>
      </w:pPr>
      <w:rPr>
        <w:rFonts w:ascii="Wingdings" w:hAnsi="Wingdings" w:hint="default"/>
      </w:rPr>
    </w:lvl>
    <w:lvl w:ilvl="1" w:tplc="04150003" w:tentative="1">
      <w:start w:val="1"/>
      <w:numFmt w:val="bullet"/>
      <w:lvlText w:val="o"/>
      <w:lvlJc w:val="left"/>
      <w:pPr>
        <w:ind w:left="1793" w:hanging="360"/>
      </w:pPr>
      <w:rPr>
        <w:rFonts w:ascii="Courier New" w:hAnsi="Courier New" w:cs="Courier New" w:hint="default"/>
      </w:rPr>
    </w:lvl>
    <w:lvl w:ilvl="2" w:tplc="04150005" w:tentative="1">
      <w:start w:val="1"/>
      <w:numFmt w:val="bullet"/>
      <w:lvlText w:val=""/>
      <w:lvlJc w:val="left"/>
      <w:pPr>
        <w:ind w:left="2513" w:hanging="360"/>
      </w:pPr>
      <w:rPr>
        <w:rFonts w:ascii="Wingdings" w:hAnsi="Wingdings" w:hint="default"/>
      </w:rPr>
    </w:lvl>
    <w:lvl w:ilvl="3" w:tplc="04150001" w:tentative="1">
      <w:start w:val="1"/>
      <w:numFmt w:val="bullet"/>
      <w:lvlText w:val=""/>
      <w:lvlJc w:val="left"/>
      <w:pPr>
        <w:ind w:left="3233" w:hanging="360"/>
      </w:pPr>
      <w:rPr>
        <w:rFonts w:ascii="Symbol" w:hAnsi="Symbol" w:hint="default"/>
      </w:rPr>
    </w:lvl>
    <w:lvl w:ilvl="4" w:tplc="04150003" w:tentative="1">
      <w:start w:val="1"/>
      <w:numFmt w:val="bullet"/>
      <w:lvlText w:val="o"/>
      <w:lvlJc w:val="left"/>
      <w:pPr>
        <w:ind w:left="3953" w:hanging="360"/>
      </w:pPr>
      <w:rPr>
        <w:rFonts w:ascii="Courier New" w:hAnsi="Courier New" w:cs="Courier New" w:hint="default"/>
      </w:rPr>
    </w:lvl>
    <w:lvl w:ilvl="5" w:tplc="04150005" w:tentative="1">
      <w:start w:val="1"/>
      <w:numFmt w:val="bullet"/>
      <w:lvlText w:val=""/>
      <w:lvlJc w:val="left"/>
      <w:pPr>
        <w:ind w:left="4673" w:hanging="360"/>
      </w:pPr>
      <w:rPr>
        <w:rFonts w:ascii="Wingdings" w:hAnsi="Wingdings" w:hint="default"/>
      </w:rPr>
    </w:lvl>
    <w:lvl w:ilvl="6" w:tplc="04150001" w:tentative="1">
      <w:start w:val="1"/>
      <w:numFmt w:val="bullet"/>
      <w:lvlText w:val=""/>
      <w:lvlJc w:val="left"/>
      <w:pPr>
        <w:ind w:left="5393" w:hanging="360"/>
      </w:pPr>
      <w:rPr>
        <w:rFonts w:ascii="Symbol" w:hAnsi="Symbol" w:hint="default"/>
      </w:rPr>
    </w:lvl>
    <w:lvl w:ilvl="7" w:tplc="04150003" w:tentative="1">
      <w:start w:val="1"/>
      <w:numFmt w:val="bullet"/>
      <w:lvlText w:val="o"/>
      <w:lvlJc w:val="left"/>
      <w:pPr>
        <w:ind w:left="6113" w:hanging="360"/>
      </w:pPr>
      <w:rPr>
        <w:rFonts w:ascii="Courier New" w:hAnsi="Courier New" w:cs="Courier New" w:hint="default"/>
      </w:rPr>
    </w:lvl>
    <w:lvl w:ilvl="8" w:tplc="04150005" w:tentative="1">
      <w:start w:val="1"/>
      <w:numFmt w:val="bullet"/>
      <w:lvlText w:val=""/>
      <w:lvlJc w:val="left"/>
      <w:pPr>
        <w:ind w:left="6833" w:hanging="360"/>
      </w:pPr>
      <w:rPr>
        <w:rFonts w:ascii="Wingdings" w:hAnsi="Wingdings" w:hint="default"/>
      </w:rPr>
    </w:lvl>
  </w:abstractNum>
  <w:abstractNum w:abstractNumId="33" w15:restartNumberingAfterBreak="0">
    <w:nsid w:val="5E651616"/>
    <w:multiLevelType w:val="hybridMultilevel"/>
    <w:tmpl w:val="16DEC612"/>
    <w:lvl w:ilvl="0" w:tplc="D042056A">
      <w:start w:val="1"/>
      <w:numFmt w:val="bullet"/>
      <w:lvlText w:val=""/>
      <w:lvlJc w:val="left"/>
      <w:pPr>
        <w:ind w:left="1447" w:hanging="360"/>
      </w:pPr>
      <w:rPr>
        <w:rFonts w:ascii="Symbol" w:hAnsi="Symbol" w:cs="Symbol" w:hint="default"/>
      </w:rPr>
    </w:lvl>
    <w:lvl w:ilvl="1" w:tplc="04150003" w:tentative="1">
      <w:start w:val="1"/>
      <w:numFmt w:val="bullet"/>
      <w:lvlText w:val="o"/>
      <w:lvlJc w:val="left"/>
      <w:pPr>
        <w:ind w:left="2167" w:hanging="360"/>
      </w:pPr>
      <w:rPr>
        <w:rFonts w:ascii="Courier New" w:hAnsi="Courier New" w:cs="Courier New"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4" w15:restartNumberingAfterBreak="0">
    <w:nsid w:val="5E7866C8"/>
    <w:multiLevelType w:val="hybridMultilevel"/>
    <w:tmpl w:val="AE7412C8"/>
    <w:lvl w:ilvl="0" w:tplc="D042056A">
      <w:start w:val="1"/>
      <w:numFmt w:val="bullet"/>
      <w:lvlText w:val=""/>
      <w:lvlJc w:val="left"/>
      <w:pPr>
        <w:ind w:left="1447" w:hanging="360"/>
      </w:pPr>
      <w:rPr>
        <w:rFonts w:ascii="Symbol" w:hAnsi="Symbol" w:cs="Symbol" w:hint="default"/>
      </w:rPr>
    </w:lvl>
    <w:lvl w:ilvl="1" w:tplc="04150003" w:tentative="1">
      <w:start w:val="1"/>
      <w:numFmt w:val="bullet"/>
      <w:lvlText w:val="o"/>
      <w:lvlJc w:val="left"/>
      <w:pPr>
        <w:ind w:left="2167" w:hanging="360"/>
      </w:pPr>
      <w:rPr>
        <w:rFonts w:ascii="Courier New" w:hAnsi="Courier New" w:cs="Courier New"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5" w15:restartNumberingAfterBreak="0">
    <w:nsid w:val="67143911"/>
    <w:multiLevelType w:val="hybridMultilevel"/>
    <w:tmpl w:val="1C30B0F0"/>
    <w:lvl w:ilvl="0" w:tplc="D042056A">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E9C25E6"/>
    <w:multiLevelType w:val="hybridMultilevel"/>
    <w:tmpl w:val="2050221A"/>
    <w:lvl w:ilvl="0" w:tplc="0415000B">
      <w:start w:val="1"/>
      <w:numFmt w:val="bullet"/>
      <w:lvlText w:val=""/>
      <w:lvlJc w:val="left"/>
      <w:pPr>
        <w:ind w:left="720" w:hanging="360"/>
      </w:pPr>
      <w:rPr>
        <w:rFonts w:ascii="Wingdings" w:hAnsi="Wingdings" w:hint="default"/>
      </w:rPr>
    </w:lvl>
    <w:lvl w:ilvl="1" w:tplc="B61E38EC">
      <w:numFmt w:val="bullet"/>
      <w:lvlText w:val="•"/>
      <w:lvlJc w:val="left"/>
      <w:pPr>
        <w:ind w:left="1440" w:hanging="360"/>
      </w:pPr>
      <w:rPr>
        <w:rFonts w:ascii="Verdana" w:eastAsia="Arial" w:hAnsi="Verdana" w:cs="Arial" w:hint="default"/>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1D71C8"/>
    <w:multiLevelType w:val="hybridMultilevel"/>
    <w:tmpl w:val="8DCC39D0"/>
    <w:lvl w:ilvl="0" w:tplc="FFFFFFFF">
      <w:start w:val="1"/>
      <w:numFmt w:val="decimal"/>
      <w:lvlText w:val="%1)"/>
      <w:lvlJc w:val="left"/>
    </w:lvl>
    <w:lvl w:ilvl="1" w:tplc="D042056A">
      <w:start w:val="1"/>
      <w:numFmt w:val="bullet"/>
      <w:lvlText w:val=""/>
      <w:lvlJc w:val="left"/>
      <w:pPr>
        <w:ind w:left="360" w:hanging="360"/>
      </w:pPr>
      <w:rPr>
        <w:rFonts w:ascii="Symbol" w:hAnsi="Symbol" w:cs="Symbol"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73595FFB"/>
    <w:multiLevelType w:val="hybridMultilevel"/>
    <w:tmpl w:val="BC36E6C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423C61"/>
    <w:multiLevelType w:val="hybridMultilevel"/>
    <w:tmpl w:val="0DEC708A"/>
    <w:lvl w:ilvl="0" w:tplc="D042056A">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C1D3A6F"/>
    <w:multiLevelType w:val="hybridMultilevel"/>
    <w:tmpl w:val="D14C0B86"/>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2450D9"/>
    <w:multiLevelType w:val="hybridMultilevel"/>
    <w:tmpl w:val="1F7C5FFC"/>
    <w:lvl w:ilvl="0" w:tplc="0415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600529507">
    <w:abstractNumId w:val="0"/>
  </w:num>
  <w:num w:numId="2" w16cid:durableId="1205604020">
    <w:abstractNumId w:val="1"/>
  </w:num>
  <w:num w:numId="3" w16cid:durableId="1247807142">
    <w:abstractNumId w:val="2"/>
  </w:num>
  <w:num w:numId="4" w16cid:durableId="1085689114">
    <w:abstractNumId w:val="3"/>
  </w:num>
  <w:num w:numId="5" w16cid:durableId="798380093">
    <w:abstractNumId w:val="4"/>
  </w:num>
  <w:num w:numId="6" w16cid:durableId="2113821205">
    <w:abstractNumId w:val="5"/>
  </w:num>
  <w:num w:numId="7" w16cid:durableId="390736474">
    <w:abstractNumId w:val="6"/>
  </w:num>
  <w:num w:numId="8" w16cid:durableId="1995520813">
    <w:abstractNumId w:val="7"/>
  </w:num>
  <w:num w:numId="9" w16cid:durableId="1940748042">
    <w:abstractNumId w:val="8"/>
  </w:num>
  <w:num w:numId="10" w16cid:durableId="258410881">
    <w:abstractNumId w:val="9"/>
  </w:num>
  <w:num w:numId="11" w16cid:durableId="1058170091">
    <w:abstractNumId w:val="10"/>
  </w:num>
  <w:num w:numId="12" w16cid:durableId="1478447850">
    <w:abstractNumId w:val="11"/>
  </w:num>
  <w:num w:numId="13" w16cid:durableId="446237578">
    <w:abstractNumId w:val="12"/>
  </w:num>
  <w:num w:numId="14" w16cid:durableId="1865509942">
    <w:abstractNumId w:val="13"/>
  </w:num>
  <w:num w:numId="15" w16cid:durableId="335231120">
    <w:abstractNumId w:val="14"/>
  </w:num>
  <w:num w:numId="16" w16cid:durableId="807167501">
    <w:abstractNumId w:val="32"/>
  </w:num>
  <w:num w:numId="17" w16cid:durableId="250431697">
    <w:abstractNumId w:val="27"/>
  </w:num>
  <w:num w:numId="18" w16cid:durableId="1823934313">
    <w:abstractNumId w:val="15"/>
  </w:num>
  <w:num w:numId="19" w16cid:durableId="1523323608">
    <w:abstractNumId w:val="41"/>
  </w:num>
  <w:num w:numId="20" w16cid:durableId="1751582769">
    <w:abstractNumId w:val="36"/>
  </w:num>
  <w:num w:numId="21" w16cid:durableId="1352300826">
    <w:abstractNumId w:val="17"/>
  </w:num>
  <w:num w:numId="22" w16cid:durableId="1514346312">
    <w:abstractNumId w:val="31"/>
  </w:num>
  <w:num w:numId="23" w16cid:durableId="232397960">
    <w:abstractNumId w:val="23"/>
  </w:num>
  <w:num w:numId="24" w16cid:durableId="1814643235">
    <w:abstractNumId w:val="38"/>
  </w:num>
  <w:num w:numId="25" w16cid:durableId="1233350297">
    <w:abstractNumId w:val="20"/>
  </w:num>
  <w:num w:numId="26" w16cid:durableId="554969173">
    <w:abstractNumId w:val="40"/>
  </w:num>
  <w:num w:numId="27" w16cid:durableId="1643190571">
    <w:abstractNumId w:val="26"/>
  </w:num>
  <w:num w:numId="28" w16cid:durableId="1811166879">
    <w:abstractNumId w:val="25"/>
  </w:num>
  <w:num w:numId="29" w16cid:durableId="9183459">
    <w:abstractNumId w:val="30"/>
  </w:num>
  <w:num w:numId="30" w16cid:durableId="1308315917">
    <w:abstractNumId w:val="19"/>
  </w:num>
  <w:num w:numId="31" w16cid:durableId="1874615783">
    <w:abstractNumId w:val="21"/>
  </w:num>
  <w:num w:numId="32" w16cid:durableId="1985425988">
    <w:abstractNumId w:val="18"/>
  </w:num>
  <w:num w:numId="33" w16cid:durableId="1379628098">
    <w:abstractNumId w:val="37"/>
  </w:num>
  <w:num w:numId="34" w16cid:durableId="843059253">
    <w:abstractNumId w:val="16"/>
  </w:num>
  <w:num w:numId="35" w16cid:durableId="633606566">
    <w:abstractNumId w:val="29"/>
  </w:num>
  <w:num w:numId="36" w16cid:durableId="1439106223">
    <w:abstractNumId w:val="33"/>
  </w:num>
  <w:num w:numId="37" w16cid:durableId="2035182995">
    <w:abstractNumId w:val="34"/>
  </w:num>
  <w:num w:numId="38" w16cid:durableId="682052644">
    <w:abstractNumId w:val="24"/>
  </w:num>
  <w:num w:numId="39" w16cid:durableId="1520661888">
    <w:abstractNumId w:val="39"/>
  </w:num>
  <w:num w:numId="40" w16cid:durableId="355624420">
    <w:abstractNumId w:val="22"/>
  </w:num>
  <w:num w:numId="41" w16cid:durableId="1202206405">
    <w:abstractNumId w:val="35"/>
  </w:num>
  <w:num w:numId="42" w16cid:durableId="18238892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D5"/>
    <w:rsid w:val="00043151"/>
    <w:rsid w:val="00074FEC"/>
    <w:rsid w:val="00091667"/>
    <w:rsid w:val="000A6FD6"/>
    <w:rsid w:val="000C5BAA"/>
    <w:rsid w:val="000E4202"/>
    <w:rsid w:val="00133ADC"/>
    <w:rsid w:val="00162CA0"/>
    <w:rsid w:val="001736E1"/>
    <w:rsid w:val="001D41B6"/>
    <w:rsid w:val="001E521F"/>
    <w:rsid w:val="001F3539"/>
    <w:rsid w:val="00207D01"/>
    <w:rsid w:val="00215B5E"/>
    <w:rsid w:val="00223A97"/>
    <w:rsid w:val="00244639"/>
    <w:rsid w:val="0026130C"/>
    <w:rsid w:val="00267DD3"/>
    <w:rsid w:val="00281B24"/>
    <w:rsid w:val="002840BE"/>
    <w:rsid w:val="002A7572"/>
    <w:rsid w:val="002B0E5E"/>
    <w:rsid w:val="002F66D2"/>
    <w:rsid w:val="0032341B"/>
    <w:rsid w:val="003560B8"/>
    <w:rsid w:val="00390D65"/>
    <w:rsid w:val="003A6FBA"/>
    <w:rsid w:val="003B2568"/>
    <w:rsid w:val="003C2361"/>
    <w:rsid w:val="003C238D"/>
    <w:rsid w:val="00401B7E"/>
    <w:rsid w:val="00471D55"/>
    <w:rsid w:val="004A2B9B"/>
    <w:rsid w:val="004B51A4"/>
    <w:rsid w:val="004F37E5"/>
    <w:rsid w:val="00557CAC"/>
    <w:rsid w:val="00575B1E"/>
    <w:rsid w:val="005B30AC"/>
    <w:rsid w:val="005F0098"/>
    <w:rsid w:val="005F2757"/>
    <w:rsid w:val="006161AE"/>
    <w:rsid w:val="00643454"/>
    <w:rsid w:val="006579F2"/>
    <w:rsid w:val="006757A0"/>
    <w:rsid w:val="006964C7"/>
    <w:rsid w:val="006C346C"/>
    <w:rsid w:val="006D5A06"/>
    <w:rsid w:val="006F1A55"/>
    <w:rsid w:val="007334B2"/>
    <w:rsid w:val="00735A22"/>
    <w:rsid w:val="007613A7"/>
    <w:rsid w:val="0077156B"/>
    <w:rsid w:val="00791ADA"/>
    <w:rsid w:val="007D2482"/>
    <w:rsid w:val="007D41A4"/>
    <w:rsid w:val="007D5011"/>
    <w:rsid w:val="007F0831"/>
    <w:rsid w:val="00805415"/>
    <w:rsid w:val="00861049"/>
    <w:rsid w:val="00861B99"/>
    <w:rsid w:val="00871B7F"/>
    <w:rsid w:val="00884E21"/>
    <w:rsid w:val="008A47CD"/>
    <w:rsid w:val="008B10D5"/>
    <w:rsid w:val="008D269F"/>
    <w:rsid w:val="0094385A"/>
    <w:rsid w:val="0098443C"/>
    <w:rsid w:val="009865CB"/>
    <w:rsid w:val="00997FB1"/>
    <w:rsid w:val="009B77CC"/>
    <w:rsid w:val="009C482C"/>
    <w:rsid w:val="009D07EE"/>
    <w:rsid w:val="009D5207"/>
    <w:rsid w:val="009E1141"/>
    <w:rsid w:val="009F0738"/>
    <w:rsid w:val="00A662E8"/>
    <w:rsid w:val="00A729F8"/>
    <w:rsid w:val="00A77371"/>
    <w:rsid w:val="00A9140A"/>
    <w:rsid w:val="00AA3546"/>
    <w:rsid w:val="00AC2930"/>
    <w:rsid w:val="00AC3A7A"/>
    <w:rsid w:val="00AD0A14"/>
    <w:rsid w:val="00AD727E"/>
    <w:rsid w:val="00AF0588"/>
    <w:rsid w:val="00B16CE3"/>
    <w:rsid w:val="00B230AA"/>
    <w:rsid w:val="00BC17A3"/>
    <w:rsid w:val="00BD053C"/>
    <w:rsid w:val="00BF1088"/>
    <w:rsid w:val="00BF2B3B"/>
    <w:rsid w:val="00C2467A"/>
    <w:rsid w:val="00C913C3"/>
    <w:rsid w:val="00CB162D"/>
    <w:rsid w:val="00CE2B0F"/>
    <w:rsid w:val="00D40A27"/>
    <w:rsid w:val="00D4415D"/>
    <w:rsid w:val="00DC65C0"/>
    <w:rsid w:val="00DE6A05"/>
    <w:rsid w:val="00E01680"/>
    <w:rsid w:val="00E040FF"/>
    <w:rsid w:val="00E35F72"/>
    <w:rsid w:val="00E445A2"/>
    <w:rsid w:val="00E46BC1"/>
    <w:rsid w:val="00E83FD2"/>
    <w:rsid w:val="00EB3EF0"/>
    <w:rsid w:val="00EB52C6"/>
    <w:rsid w:val="00EE0207"/>
    <w:rsid w:val="00F03120"/>
    <w:rsid w:val="00F11773"/>
    <w:rsid w:val="00F23578"/>
    <w:rsid w:val="00F27E72"/>
    <w:rsid w:val="00F3639F"/>
    <w:rsid w:val="00F456F3"/>
    <w:rsid w:val="00F624F1"/>
    <w:rsid w:val="00F76288"/>
    <w:rsid w:val="00F84AAC"/>
    <w:rsid w:val="00FD2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143F"/>
  <w15:chartTrackingRefBased/>
  <w15:docId w15:val="{4C5603CE-5CD4-4025-A240-47CB29C3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10D5"/>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8B10D5"/>
    <w:pPr>
      <w:keepNext/>
      <w:keepLines/>
      <w:spacing w:before="240"/>
      <w:outlineLvl w:val="0"/>
    </w:pPr>
    <w:rPr>
      <w:rFonts w:asciiTheme="majorHAnsi" w:eastAsia="Verdan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B10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10D5"/>
    <w:rPr>
      <w:rFonts w:asciiTheme="majorHAnsi" w:eastAsia="Verdan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8B10D5"/>
    <w:rPr>
      <w:rFonts w:asciiTheme="majorHAnsi" w:eastAsiaTheme="majorEastAsia" w:hAnsiTheme="majorHAnsi" w:cstheme="majorBidi"/>
      <w:color w:val="2F5496" w:themeColor="accent1" w:themeShade="BF"/>
      <w:sz w:val="26"/>
      <w:szCs w:val="26"/>
      <w:lang w:eastAsia="pl-PL"/>
    </w:rPr>
  </w:style>
  <w:style w:type="character" w:styleId="Hipercze">
    <w:name w:val="Hyperlink"/>
    <w:basedOn w:val="Domylnaczcionkaakapitu"/>
    <w:uiPriority w:val="99"/>
    <w:unhideWhenUsed/>
    <w:rsid w:val="008B10D5"/>
    <w:rPr>
      <w:color w:val="0563C1" w:themeColor="hyperlink"/>
      <w:u w:val="single"/>
    </w:rPr>
  </w:style>
  <w:style w:type="paragraph" w:styleId="Nagwekspisutreci">
    <w:name w:val="TOC Heading"/>
    <w:basedOn w:val="Nagwek1"/>
    <w:next w:val="Normalny"/>
    <w:uiPriority w:val="39"/>
    <w:unhideWhenUsed/>
    <w:qFormat/>
    <w:rsid w:val="008B10D5"/>
    <w:pPr>
      <w:spacing w:line="259" w:lineRule="auto"/>
      <w:outlineLvl w:val="9"/>
    </w:pPr>
  </w:style>
  <w:style w:type="paragraph" w:styleId="Spistreci2">
    <w:name w:val="toc 2"/>
    <w:basedOn w:val="Normalny"/>
    <w:next w:val="Normalny"/>
    <w:autoRedefine/>
    <w:uiPriority w:val="39"/>
    <w:unhideWhenUsed/>
    <w:rsid w:val="008B10D5"/>
    <w:pPr>
      <w:spacing w:after="100" w:line="259" w:lineRule="auto"/>
      <w:ind w:left="220"/>
    </w:pPr>
    <w:rPr>
      <w:rFonts w:asciiTheme="minorHAnsi" w:eastAsiaTheme="minorEastAsia" w:hAnsiTheme="minorHAnsi" w:cs="Times New Roman"/>
      <w:sz w:val="22"/>
      <w:szCs w:val="22"/>
    </w:rPr>
  </w:style>
  <w:style w:type="paragraph" w:styleId="Spistreci1">
    <w:name w:val="toc 1"/>
    <w:basedOn w:val="Normalny"/>
    <w:next w:val="Normalny"/>
    <w:autoRedefine/>
    <w:uiPriority w:val="39"/>
    <w:unhideWhenUsed/>
    <w:rsid w:val="008B10D5"/>
    <w:pPr>
      <w:spacing w:after="100" w:line="259" w:lineRule="auto"/>
    </w:pPr>
    <w:rPr>
      <w:rFonts w:asciiTheme="minorHAnsi" w:eastAsiaTheme="minorEastAsia" w:hAnsiTheme="minorHAnsi" w:cs="Times New Roman"/>
      <w:sz w:val="22"/>
      <w:szCs w:val="22"/>
    </w:rPr>
  </w:style>
  <w:style w:type="paragraph" w:styleId="Nagwek">
    <w:name w:val="header"/>
    <w:basedOn w:val="Normalny"/>
    <w:link w:val="NagwekZnak"/>
    <w:uiPriority w:val="99"/>
    <w:unhideWhenUsed/>
    <w:rsid w:val="008B10D5"/>
    <w:pPr>
      <w:tabs>
        <w:tab w:val="center" w:pos="4536"/>
        <w:tab w:val="right" w:pos="9072"/>
      </w:tabs>
    </w:pPr>
  </w:style>
  <w:style w:type="character" w:customStyle="1" w:styleId="NagwekZnak">
    <w:name w:val="Nagłówek Znak"/>
    <w:basedOn w:val="Domylnaczcionkaakapitu"/>
    <w:link w:val="Nagwek"/>
    <w:uiPriority w:val="99"/>
    <w:rsid w:val="008B10D5"/>
    <w:rPr>
      <w:rFonts w:ascii="Calibri" w:eastAsia="Calibri" w:hAnsi="Calibri" w:cs="Arial"/>
      <w:sz w:val="20"/>
      <w:szCs w:val="20"/>
      <w:lang w:eastAsia="pl-PL"/>
    </w:rPr>
  </w:style>
  <w:style w:type="paragraph" w:styleId="Stopka">
    <w:name w:val="footer"/>
    <w:basedOn w:val="Normalny"/>
    <w:link w:val="StopkaZnak"/>
    <w:uiPriority w:val="99"/>
    <w:unhideWhenUsed/>
    <w:rsid w:val="008B10D5"/>
    <w:pPr>
      <w:tabs>
        <w:tab w:val="center" w:pos="4536"/>
        <w:tab w:val="right" w:pos="9072"/>
      </w:tabs>
    </w:pPr>
  </w:style>
  <w:style w:type="character" w:customStyle="1" w:styleId="StopkaZnak">
    <w:name w:val="Stopka Znak"/>
    <w:basedOn w:val="Domylnaczcionkaakapitu"/>
    <w:link w:val="Stopka"/>
    <w:uiPriority w:val="99"/>
    <w:rsid w:val="008B10D5"/>
    <w:rPr>
      <w:rFonts w:ascii="Calibri" w:eastAsia="Calibri" w:hAnsi="Calibri" w:cs="Arial"/>
      <w:sz w:val="20"/>
      <w:szCs w:val="20"/>
      <w:lang w:eastAsia="pl-PL"/>
    </w:rPr>
  </w:style>
  <w:style w:type="paragraph" w:styleId="Akapitzlist">
    <w:name w:val="List Paragraph"/>
    <w:basedOn w:val="Normalny"/>
    <w:uiPriority w:val="34"/>
    <w:qFormat/>
    <w:rsid w:val="00F84AAC"/>
    <w:pPr>
      <w:ind w:left="720"/>
      <w:contextualSpacing/>
    </w:pPr>
  </w:style>
  <w:style w:type="table" w:styleId="Tabela-Siatka">
    <w:name w:val="Table Grid"/>
    <w:basedOn w:val="Standardowy"/>
    <w:uiPriority w:val="39"/>
    <w:rsid w:val="00F45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atin typeface="+mn-lt"/>
                <a:ea typeface="+mn-ea"/>
                <a:cs typeface="+mn-cs"/>
              </a:defRPr>
            </a:pPr>
            <a:r>
              <a:rPr lang="pl-PL">
                <a:ln>
                  <a:noFill/>
                </a:ln>
                <a:solidFill>
                  <a:sysClr val="windowText" lastClr="000000"/>
                </a:solidFill>
              </a:rPr>
              <a:t>Zestawienie</a:t>
            </a:r>
            <a:r>
              <a:rPr lang="pl-PL">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ysClr val="windowText" lastClr="000000"/>
                </a:solidFill>
              </a:rPr>
              <a:t> </a:t>
            </a:r>
            <a:r>
              <a:rPr lang="pl-PL">
                <a:ln>
                  <a:noFill/>
                </a:ln>
                <a:solidFill>
                  <a:sysClr val="windowText" lastClr="000000"/>
                </a:solidFill>
              </a:rPr>
              <a:t>wysokości zadłużenia</a:t>
            </a:r>
            <a:r>
              <a:rPr lang="pl-PL" sz="1800" b="1" i="0" u="none" strike="noStrike" kern="1200" baseline="0">
                <a:ln>
                  <a:noFill/>
                </a:ln>
                <a:solidFill>
                  <a:sysClr val="windowText" lastClr="000000"/>
                </a:solidFill>
                <a:latin typeface="+mn-lt"/>
                <a:ea typeface="+mn-ea"/>
                <a:cs typeface="+mn-cs"/>
              </a:rPr>
              <a:t> </a:t>
            </a:r>
            <a:r>
              <a:rPr lang="pl-PL">
                <a:ln>
                  <a:noFill/>
                </a:ln>
                <a:solidFill>
                  <a:sysClr val="windowText" lastClr="000000"/>
                </a:solidFill>
              </a:rPr>
              <a:t>i kosztu obsługi długu</a:t>
            </a:r>
          </a:p>
        </c:rich>
      </c:tx>
      <c:overlay val="0"/>
      <c:spPr>
        <a:noFill/>
        <a:ln>
          <a:noFill/>
        </a:ln>
        <a:effectLst/>
      </c:spPr>
      <c:txPr>
        <a:bodyPr rot="0" spcFirstLastPara="1" vertOverflow="ellipsis" vert="horz" wrap="square" anchor="ctr" anchorCtr="1"/>
        <a:lstStyle/>
        <a:p>
          <a:pPr>
            <a:defRPr sz="1800" b="1" i="0" u="none" strike="noStrike" kern="1200" baseline="0">
              <a:ln>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Zadłużenie z tytułu kredytów, pożyczek i papierów wartościowych</c:v>
                </c:pt>
              </c:strCache>
            </c:strRef>
          </c:tx>
          <c:spPr>
            <a:ln w="31750" cap="rnd">
              <a:solidFill>
                <a:srgbClr val="7030A0"/>
              </a:solidFill>
              <a:round/>
            </a:ln>
            <a:effectLst/>
          </c:spPr>
          <c:marker>
            <c:symbol val="none"/>
          </c:marker>
          <c:dLbls>
            <c:dLbl>
              <c:idx val="0"/>
              <c:layout>
                <c:manualLayout>
                  <c:x val="-0.10432437958857781"/>
                  <c:y val="-2.4812672225495623E-2"/>
                </c:manualLayout>
              </c:layout>
              <c:tx>
                <c:rich>
                  <a:bodyPr/>
                  <a:lstStyle/>
                  <a:p>
                    <a:fld id="{005BA23C-8287-4D22-B1CA-559CF651F8E0}" type="VALUE">
                      <a:rPr lang="en-US" sz="1000">
                        <a:ln>
                          <a:noFill/>
                        </a:ln>
                      </a:rPr>
                      <a:pPr/>
                      <a:t>[WARTOŚĆ]</a:t>
                    </a:fld>
                    <a:endParaRPr lang="pl-PL"/>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0-B43E-4264-A7F3-73291B04558E}"/>
                </c:ext>
              </c:extLst>
            </c:dLbl>
            <c:dLbl>
              <c:idx val="1"/>
              <c:layout>
                <c:manualLayout>
                  <c:x val="-9.0084072716403812E-2"/>
                  <c:y val="4.0424456796361738E-2"/>
                </c:manualLayout>
              </c:layout>
              <c:tx>
                <c:rich>
                  <a:bodyPr/>
                  <a:lstStyle/>
                  <a:p>
                    <a:fld id="{5A12EF8A-FF18-4C7B-92D7-0433507A7772}" type="VALUE">
                      <a:rPr lang="en-US" sz="1000"/>
                      <a:pPr/>
                      <a:t>[WARTOŚĆ]</a:t>
                    </a:fld>
                    <a:endParaRPr lang="pl-PL"/>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B43E-4264-A7F3-73291B04558E}"/>
                </c:ext>
              </c:extLst>
            </c:dLbl>
            <c:dLbl>
              <c:idx val="2"/>
              <c:layout>
                <c:manualLayout>
                  <c:x val="-9.0084127983589848E-2"/>
                  <c:y val="3.8698138923110803E-2"/>
                </c:manualLayout>
              </c:layout>
              <c:tx>
                <c:rich>
                  <a:bodyPr/>
                  <a:lstStyle/>
                  <a:p>
                    <a:fld id="{CF739B37-7330-4FC7-B941-FF24E24ED380}" type="VALUE">
                      <a:rPr lang="en-US" sz="1000"/>
                      <a:pPr/>
                      <a:t>[WARTOŚĆ]</a:t>
                    </a:fld>
                    <a:endParaRPr lang="pl-PL"/>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B43E-4264-A7F3-73291B04558E}"/>
                </c:ext>
              </c:extLst>
            </c:dLbl>
            <c:dLbl>
              <c:idx val="3"/>
              <c:layout>
                <c:manualLayout>
                  <c:x val="-9.6554470645876564E-2"/>
                  <c:y val="-3.3687047330301499E-2"/>
                </c:manualLayout>
              </c:layout>
              <c:tx>
                <c:rich>
                  <a:bodyPr/>
                  <a:lstStyle/>
                  <a:p>
                    <a:fld id="{6BA3BA14-D38D-47A5-8708-36463F283604}" type="VALUE">
                      <a:rPr lang="en-US" sz="1000" b="1"/>
                      <a:pPr/>
                      <a:t>[WARTOŚĆ]</a:t>
                    </a:fld>
                    <a:endParaRPr lang="pl-PL"/>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B43E-4264-A7F3-73291B04558E}"/>
                </c:ext>
              </c:extLst>
            </c:dLbl>
            <c:dLbl>
              <c:idx val="4"/>
              <c:layout>
                <c:manualLayout>
                  <c:x val="-5.1542069049844992E-2"/>
                  <c:y val="-2.02122283981809E-2"/>
                </c:manualLayout>
              </c:layout>
              <c:tx>
                <c:rich>
                  <a:bodyPr/>
                  <a:lstStyle/>
                  <a:p>
                    <a:fld id="{08910746-4021-4D1E-8D4C-553713D8F337}" type="VALUE">
                      <a:rPr lang="en-US" sz="1000">
                        <a:ln>
                          <a:noFill/>
                        </a:ln>
                        <a:solidFill>
                          <a:schemeClr val="tx1"/>
                        </a:solidFill>
                        <a:effectLst>
                          <a:outerShdw blurRad="50800" dist="38100" algn="l" rotWithShape="0">
                            <a:schemeClr val="tx2">
                              <a:alpha val="40000"/>
                            </a:schemeClr>
                          </a:outerShdw>
                          <a:reflection blurRad="6350" stA="60000" endA="900" endPos="60000" dist="60007" dir="5400000" sy="-100000" algn="bl" rotWithShape="0"/>
                        </a:effectLst>
                      </a:rPr>
                      <a:pPr/>
                      <a:t>[WARTOŚĆ]</a:t>
                    </a:fld>
                    <a:endParaRPr lang="pl-PL"/>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B43E-4264-A7F3-73291B04558E}"/>
                </c:ext>
              </c:extLst>
            </c:dLbl>
            <c:numFmt formatCode="#,##0.00\ &quot;zł&quot;"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ln>
                      <a:noFill/>
                    </a:ln>
                    <a:solidFill>
                      <a:schemeClr val="tx1"/>
                    </a:solidFill>
                    <a:effectLst>
                      <a:outerShdw blurRad="50800" dist="38100" dir="2700000" algn="tl" rotWithShape="0">
                        <a:prstClr val="black">
                          <a:alpha val="40000"/>
                        </a:prstClr>
                      </a:outerShdw>
                      <a:reflection blurRad="6350" stA="60000" endA="900" endPos="60000" dist="60007" dir="5400000" sy="-100000" algn="bl" rotWithShape="0"/>
                    </a:effectLst>
                    <a:latin typeface="+mn-lt"/>
                    <a:ea typeface="+mn-ea"/>
                    <a:cs typeface="+mn-cs"/>
                  </a:defRPr>
                </a:pPr>
                <a:endParaRPr lang="pl-PL"/>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31.12.2017 r.</c:v>
                </c:pt>
                <c:pt idx="1">
                  <c:v>31.12.2018 r.</c:v>
                </c:pt>
                <c:pt idx="2">
                  <c:v>31.12.2019 r.</c:v>
                </c:pt>
                <c:pt idx="3">
                  <c:v>31.12.2020 r.</c:v>
                </c:pt>
                <c:pt idx="4">
                  <c:v>31.12.2021 r.</c:v>
                </c:pt>
              </c:strCache>
            </c:strRef>
          </c:cat>
          <c:val>
            <c:numRef>
              <c:f>Arkusz1!$B$2:$B$6</c:f>
              <c:numCache>
                <c:formatCode>#\ ##0.00\ "zł"</c:formatCode>
                <c:ptCount val="5"/>
                <c:pt idx="0">
                  <c:v>265694272</c:v>
                </c:pt>
                <c:pt idx="1">
                  <c:v>257441193</c:v>
                </c:pt>
                <c:pt idx="2">
                  <c:v>257999887</c:v>
                </c:pt>
                <c:pt idx="3">
                  <c:v>283104064</c:v>
                </c:pt>
                <c:pt idx="4">
                  <c:v>340423027.36000001</c:v>
                </c:pt>
              </c:numCache>
            </c:numRef>
          </c:val>
          <c:smooth val="0"/>
          <c:extLst>
            <c:ext xmlns:c16="http://schemas.microsoft.com/office/drawing/2014/chart" uri="{C3380CC4-5D6E-409C-BE32-E72D297353CC}">
              <c16:uniqueId val="{00000005-B43E-4264-A7F3-73291B04558E}"/>
            </c:ext>
          </c:extLst>
        </c:ser>
        <c:ser>
          <c:idx val="1"/>
          <c:order val="1"/>
          <c:tx>
            <c:strRef>
              <c:f>Arkusz1!$C$1</c:f>
              <c:strCache>
                <c:ptCount val="1"/>
                <c:pt idx="0">
                  <c:v>Koszt obsługi długu</c:v>
                </c:pt>
              </c:strCache>
            </c:strRef>
          </c:tx>
          <c:spPr>
            <a:ln w="31750" cap="rnd">
              <a:solidFill>
                <a:srgbClr val="3CE444"/>
              </a:solidFill>
              <a:round/>
            </a:ln>
            <a:effectLst/>
          </c:spPr>
          <c:marker>
            <c:symbol val="none"/>
          </c:marker>
          <c:dLbls>
            <c:dLbl>
              <c:idx val="0"/>
              <c:layout>
                <c:manualLayout>
                  <c:x val="-8.6497328806693891E-2"/>
                  <c:y val="-2.8001559328893411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fld id="{92FAC12E-3ED3-4224-9677-C81C2CF9B532}" type="VALUE">
                      <a:rPr lang="en-US" sz="100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rPr>
                      <a:pPr>
                        <a:defRPr>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defRPr>
                      </a:pPr>
                      <a:t>[WARTOŚĆ]</a:t>
                    </a:fld>
                    <a:endParaRPr lang="pl-PL"/>
                  </a:p>
                </c:rich>
              </c:tx>
              <c:numFmt formatCode="###,##0.00\ &quot;zł&quot;"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endParaRPr lang="pl-PL"/>
                </a:p>
              </c:txPr>
              <c:dLblPos val="r"/>
              <c:showLegendKey val="0"/>
              <c:showVal val="1"/>
              <c:showCatName val="0"/>
              <c:showSerName val="0"/>
              <c:showPercent val="0"/>
              <c:showBubbleSize val="0"/>
              <c:separator> </c:separator>
              <c:extLst>
                <c:ext xmlns:c15="http://schemas.microsoft.com/office/drawing/2012/chart" uri="{CE6537A1-D6FC-4f65-9D91-7224C49458BB}">
                  <c15:layout>
                    <c:manualLayout>
                      <c:w val="0.14398186314921682"/>
                      <c:h val="4.9905666553585561E-2"/>
                    </c:manualLayout>
                  </c15:layout>
                  <c15:dlblFieldTable/>
                  <c15:showDataLabelsRange val="0"/>
                </c:ext>
                <c:ext xmlns:c16="http://schemas.microsoft.com/office/drawing/2014/chart" uri="{C3380CC4-5D6E-409C-BE32-E72D297353CC}">
                  <c16:uniqueId val="{00000006-B43E-4264-A7F3-73291B04558E}"/>
                </c:ext>
              </c:extLst>
            </c:dLbl>
            <c:dLbl>
              <c:idx val="1"/>
              <c:layout>
                <c:manualLayout>
                  <c:x val="-8.0286939221565282E-2"/>
                  <c:y val="1.010611419909045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fld id="{6B854B7E-014B-4F58-99C2-99C57D00623B}" type="VALUE">
                      <a:rPr lang="en-US" sz="1000">
                        <a:effectLst>
                          <a:outerShdw blurRad="50800" dist="38100" dir="18900000" algn="bl" rotWithShape="0">
                            <a:prstClr val="black">
                              <a:alpha val="40000"/>
                            </a:prstClr>
                          </a:outerShdw>
                          <a:reflection blurRad="6350" stA="55000" endA="50" endPos="85000" dist="29997" dir="5400000" sy="-100000" algn="bl" rotWithShape="0"/>
                        </a:effectLst>
                      </a:rPr>
                      <a:pPr>
                        <a:defRPr>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defRPr>
                      </a:pPr>
                      <a:t>[WARTOŚĆ]</a:t>
                    </a:fld>
                    <a:endParaRPr lang="pl-PL"/>
                  </a:p>
                </c:rich>
              </c:tx>
              <c:numFmt formatCode="###,##0.00\ &quot;zł&quot;"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endParaRPr lang="pl-PL"/>
                </a:p>
              </c:txPr>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B43E-4264-A7F3-73291B04558E}"/>
                </c:ext>
              </c:extLst>
            </c:dLbl>
            <c:dLbl>
              <c:idx val="2"/>
              <c:layout>
                <c:manualLayout>
                  <c:x val="-8.5781488852354995E-2"/>
                  <c:y val="-9.5157778332950766E-3"/>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fld id="{82DC0227-35DE-4633-A0EB-64735CE6A3B6}" type="VALUE">
                      <a:rPr lang="en-US" sz="1000">
                        <a:effectLst>
                          <a:outerShdw blurRad="50800" dist="38100" dir="18900000" algn="bl" rotWithShape="0">
                            <a:prstClr val="black">
                              <a:alpha val="40000"/>
                            </a:prstClr>
                          </a:outerShdw>
                          <a:reflection blurRad="6350" stA="55000" endA="50" endPos="85000" dist="29997" dir="5400000" sy="-100000" algn="bl" rotWithShape="0"/>
                        </a:effectLst>
                      </a:rPr>
                      <a:pPr>
                        <a:defRPr>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defRPr>
                      </a:pPr>
                      <a:t>[WARTOŚĆ]</a:t>
                    </a:fld>
                    <a:endParaRPr lang="pl-PL"/>
                  </a:p>
                </c:rich>
              </c:tx>
              <c:numFmt formatCode="###,##0.00\ &quot;zł&quot;"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endParaRPr lang="pl-PL"/>
                </a:p>
              </c:txPr>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8-B43E-4264-A7F3-73291B04558E}"/>
                </c:ext>
              </c:extLst>
            </c:dLbl>
            <c:dLbl>
              <c:idx val="3"/>
              <c:layout>
                <c:manualLayout>
                  <c:x val="-9.8931847245392834E-2"/>
                  <c:y val="2.0212354408079943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fld id="{3638D5C5-FAAB-4291-905F-E2059243FFC4}" type="VALUE">
                      <a:rPr lang="en-US" sz="1000">
                        <a:effectLst>
                          <a:outerShdw blurRad="50800" dist="38100" dir="18900000" algn="bl" rotWithShape="0">
                            <a:prstClr val="black">
                              <a:alpha val="40000"/>
                            </a:prstClr>
                          </a:outerShdw>
                          <a:reflection blurRad="6350" stA="55000" endA="50" endPos="85000" dist="29997" dir="5400000" sy="-100000" algn="bl" rotWithShape="0"/>
                        </a:effectLst>
                      </a:rPr>
                      <a:pPr>
                        <a:defRPr>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defRPr>
                      </a:pPr>
                      <a:t>[WARTOŚĆ]</a:t>
                    </a:fld>
                    <a:endParaRPr lang="pl-PL"/>
                  </a:p>
                </c:rich>
              </c:tx>
              <c:numFmt formatCode="###,##0.00\ &quot;zł&quot;"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endParaRPr lang="pl-PL"/>
                </a:p>
              </c:txPr>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B43E-4264-A7F3-73291B04558E}"/>
                </c:ext>
              </c:extLst>
            </c:dLbl>
            <c:dLbl>
              <c:idx val="4"/>
              <c:layout>
                <c:manualLayout>
                  <c:x val="-5.0555375822279737E-2"/>
                  <c:y val="3.0318342597271473E-2"/>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fld id="{2C9C3EFF-8F20-4DA8-B144-394C46683C73}" type="VALUE">
                      <a:rPr lang="en-US" sz="1000">
                        <a:effectLst>
                          <a:outerShdw blurRad="50800" dist="38100" dir="18900000" algn="bl" rotWithShape="0">
                            <a:prstClr val="black">
                              <a:alpha val="40000"/>
                            </a:prstClr>
                          </a:outerShdw>
                          <a:reflection blurRad="6350" stA="55000" endA="50" endPos="85000" dist="29997" dir="5400000" sy="-100000" algn="bl" rotWithShape="0"/>
                        </a:effectLst>
                      </a:rPr>
                      <a:pPr>
                        <a:defRPr>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defRPr>
                      </a:pPr>
                      <a:t>[WARTOŚĆ]</a:t>
                    </a:fld>
                    <a:endParaRPr lang="pl-PL"/>
                  </a:p>
                </c:rich>
              </c:tx>
              <c:numFmt formatCode="###,##0.00\ &quot;zł&quot;"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endParaRPr lang="pl-PL"/>
                </a:p>
              </c:txPr>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A-B43E-4264-A7F3-73291B04558E}"/>
                </c:ext>
              </c:extLst>
            </c:dLbl>
            <c:numFmt formatCode="###,##0.00\ &quot;zł&quot;"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effectLst>
                      <a:outerShdw blurRad="50800" dist="38100" dir="18900000" algn="bl" rotWithShape="0">
                        <a:prstClr val="black">
                          <a:alpha val="40000"/>
                        </a:prstClr>
                      </a:outerShdw>
                      <a:reflection blurRad="6350" stA="55000" endA="50" endPos="85000" dist="29997" dir="5400000" sy="-100000" algn="bl" rotWithShape="0"/>
                    </a:effectLst>
                    <a:latin typeface="+mn-lt"/>
                    <a:ea typeface="+mn-ea"/>
                    <a:cs typeface="+mn-cs"/>
                  </a:defRPr>
                </a:pPr>
                <a:endParaRPr lang="pl-PL"/>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31.12.2017 r.</c:v>
                </c:pt>
                <c:pt idx="1">
                  <c:v>31.12.2018 r.</c:v>
                </c:pt>
                <c:pt idx="2">
                  <c:v>31.12.2019 r.</c:v>
                </c:pt>
                <c:pt idx="3">
                  <c:v>31.12.2020 r.</c:v>
                </c:pt>
                <c:pt idx="4">
                  <c:v>31.12.2021 r.</c:v>
                </c:pt>
              </c:strCache>
            </c:strRef>
          </c:cat>
          <c:val>
            <c:numRef>
              <c:f>Arkusz1!$C$2:$C$6</c:f>
              <c:numCache>
                <c:formatCode>#\ ##0.00\ "zł"</c:formatCode>
                <c:ptCount val="5"/>
                <c:pt idx="0">
                  <c:v>9632434</c:v>
                </c:pt>
                <c:pt idx="1">
                  <c:v>7844091</c:v>
                </c:pt>
                <c:pt idx="2">
                  <c:v>9466306</c:v>
                </c:pt>
                <c:pt idx="3">
                  <c:v>7473346.7599999998</c:v>
                </c:pt>
                <c:pt idx="4">
                  <c:v>5390601.7699999996</c:v>
                </c:pt>
              </c:numCache>
            </c:numRef>
          </c:val>
          <c:smooth val="0"/>
          <c:extLst>
            <c:ext xmlns:c16="http://schemas.microsoft.com/office/drawing/2014/chart" uri="{C3380CC4-5D6E-409C-BE32-E72D297353CC}">
              <c16:uniqueId val="{0000000B-B43E-4264-A7F3-73291B04558E}"/>
            </c:ext>
          </c:extLst>
        </c:ser>
        <c:dLbls>
          <c:showLegendKey val="0"/>
          <c:showVal val="0"/>
          <c:showCatName val="0"/>
          <c:showSerName val="0"/>
          <c:showPercent val="0"/>
          <c:showBubbleSize val="0"/>
        </c:dLbls>
        <c:smooth val="0"/>
        <c:axId val="117382304"/>
        <c:axId val="117379352"/>
      </c:lineChart>
      <c:valAx>
        <c:axId val="1173793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0"/>
        <c:majorTickMark val="none"/>
        <c:minorTickMark val="none"/>
        <c:tickLblPos val="nextTo"/>
        <c:crossAx val="117382304"/>
        <c:crosses val="autoZero"/>
        <c:crossBetween val="between"/>
      </c:valAx>
      <c:catAx>
        <c:axId val="117382304"/>
        <c:scaling>
          <c:orientation val="minMax"/>
        </c:scaling>
        <c:delete val="0"/>
        <c:axPos val="t"/>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117379352"/>
        <c:crosses val="max"/>
        <c:auto val="1"/>
        <c:lblAlgn val="ctr"/>
        <c:lblOffset val="100"/>
        <c:noMultiLvlLbl val="0"/>
      </c:cat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US"/>
              <a:t>Nadwyżka operacyjna w latach 2017 - 2021</a:t>
            </a:r>
          </a:p>
        </c:rich>
      </c:tx>
      <c:layout>
        <c:manualLayout>
          <c:xMode val="edge"/>
          <c:yMode val="edge"/>
          <c:x val="0.19470113405635617"/>
          <c:y val="3.00751879699248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pl-PL"/>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Nadwyżka operacyjna w latach 2017 - 2021</c:v>
                </c:pt>
              </c:strCache>
            </c:strRef>
          </c:tx>
          <c:spPr>
            <a:solidFill>
              <a:srgbClr val="AA72D4"/>
            </a:solidFill>
            <a:ln w="9525" cap="flat" cmpd="sng" algn="ctr">
              <a:solidFill>
                <a:schemeClr val="bg2">
                  <a:lumMod val="50000"/>
                </a:schemeClr>
              </a:solidFill>
              <a:round/>
            </a:ln>
            <a:effectLst/>
            <a:sp3d contourW="9525">
              <a:contourClr>
                <a:schemeClr val="bg2">
                  <a:lumMod val="50000"/>
                </a:schemeClr>
              </a:contourClr>
            </a:sp3d>
          </c:spPr>
          <c:invertIfNegative val="0"/>
          <c:dPt>
            <c:idx val="0"/>
            <c:invertIfNegative val="0"/>
            <c:bubble3D val="0"/>
            <c:spPr>
              <a:solidFill>
                <a:srgbClr val="AA72D4"/>
              </a:solidFill>
              <a:ln w="9525" cap="flat" cmpd="sng" algn="ctr">
                <a:solidFill>
                  <a:schemeClr val="bg2">
                    <a:lumMod val="25000"/>
                  </a:schemeClr>
                </a:solidFill>
                <a:round/>
              </a:ln>
              <a:effectLst/>
              <a:sp3d contourW="9525">
                <a:contourClr>
                  <a:schemeClr val="bg2">
                    <a:lumMod val="25000"/>
                  </a:schemeClr>
                </a:contourClr>
              </a:sp3d>
            </c:spPr>
            <c:extLst>
              <c:ext xmlns:c16="http://schemas.microsoft.com/office/drawing/2014/chart" uri="{C3380CC4-5D6E-409C-BE32-E72D297353CC}">
                <c16:uniqueId val="{00000003-1093-4921-9BCC-225ABBA5089B}"/>
              </c:ext>
            </c:extLst>
          </c:dPt>
          <c:dLbls>
            <c:dLbl>
              <c:idx val="0"/>
              <c:layout>
                <c:manualLayout>
                  <c:x val="-1.8867759454596459E-2"/>
                  <c:y val="3.3419506772180098E-3"/>
                </c:manualLayout>
              </c:layout>
              <c:tx>
                <c:rich>
                  <a:bodyPr/>
                  <a:lstStyle/>
                  <a:p>
                    <a:fld id="{19C6EFEC-EC27-41B9-AF26-B78EA7872BE7}" type="VALUE">
                      <a:rPr lang="en-US" sz="1200" b="1">
                        <a:solidFill>
                          <a:sysClr val="windowText" lastClr="000000"/>
                        </a:solidFill>
                      </a:rPr>
                      <a:pPr/>
                      <a:t>[WARTOŚĆ]</a:t>
                    </a:fld>
                    <a:endParaRPr lang="pl-PL"/>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1093-4921-9BCC-225ABBA5089B}"/>
                </c:ext>
              </c:extLst>
            </c:dLbl>
            <c:dLbl>
              <c:idx val="1"/>
              <c:layout>
                <c:manualLayout>
                  <c:x val="6.2893081761005902E-3"/>
                  <c:y val="-1.0025062656641635E-2"/>
                </c:manualLayout>
              </c:layout>
              <c:tx>
                <c:rich>
                  <a:bodyPr/>
                  <a:lstStyle/>
                  <a:p>
                    <a:fld id="{71C41F9A-D9FE-4DDF-BC82-12FBD36476EE}" type="VALUE">
                      <a:rPr lang="en-US" sz="1200" b="1" baseline="0">
                        <a:solidFill>
                          <a:sysClr val="windowText" lastClr="000000"/>
                        </a:solidFill>
                      </a:rPr>
                      <a:pPr/>
                      <a:t>[WARTOŚĆ]</a:t>
                    </a:fld>
                    <a:endParaRPr lang="pl-PL"/>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1093-4921-9BCC-225ABBA5089B}"/>
                </c:ext>
              </c:extLst>
            </c:dLbl>
            <c:dLbl>
              <c:idx val="2"/>
              <c:layout>
                <c:manualLayout>
                  <c:x val="1.781970649895178E-2"/>
                  <c:y val="1.5037593984962405E-2"/>
                </c:manualLayout>
              </c:layout>
              <c:tx>
                <c:rich>
                  <a:bodyPr/>
                  <a:lstStyle/>
                  <a:p>
                    <a:fld id="{ECE20165-2585-4F67-B4EC-DE73F8C56CDF}" type="VALUE">
                      <a:rPr lang="en-US" sz="1200" b="1">
                        <a:solidFill>
                          <a:sysClr val="windowText" lastClr="000000"/>
                        </a:solidFill>
                      </a:rPr>
                      <a:pPr/>
                      <a:t>[WARTOŚĆ]</a:t>
                    </a:fld>
                    <a:endParaRPr lang="pl-PL"/>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1093-4921-9BCC-225ABBA5089B}"/>
                </c:ext>
              </c:extLst>
            </c:dLbl>
            <c:dLbl>
              <c:idx val="3"/>
              <c:layout>
                <c:manualLayout>
                  <c:x val="-8.3857442348009917E-3"/>
                  <c:y val="1.0025062656641603E-2"/>
                </c:manualLayout>
              </c:layout>
              <c:tx>
                <c:rich>
                  <a:bodyPr/>
                  <a:lstStyle/>
                  <a:p>
                    <a:fld id="{DCC43450-1031-4A59-A2A9-083E1F9175AC}" type="VALUE">
                      <a:rPr lang="en-US" sz="1200" b="1" i="0" baseline="0">
                        <a:solidFill>
                          <a:sysClr val="windowText" lastClr="000000"/>
                        </a:solidFill>
                      </a:rPr>
                      <a:pPr/>
                      <a:t>[WARTOŚĆ]</a:t>
                    </a:fld>
                    <a:endParaRPr lang="pl-PL"/>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6-1093-4921-9BCC-225ABBA5089B}"/>
                </c:ext>
              </c:extLst>
            </c:dLbl>
            <c:dLbl>
              <c:idx val="4"/>
              <c:layout>
                <c:manualLayout>
                  <c:x val="0"/>
                  <c:y val="6.1300232207816127E-3"/>
                </c:manualLayout>
              </c:layout>
              <c:tx>
                <c:rich>
                  <a:bodyPr/>
                  <a:lstStyle/>
                  <a:p>
                    <a:fld id="{D8B0F7BA-8EFE-4543-8076-87A8ADA02C6B}" type="VALUE">
                      <a:rPr lang="en-US" sz="1200" b="1" i="0" baseline="0">
                        <a:solidFill>
                          <a:sysClr val="windowText" lastClr="000000"/>
                        </a:solidFill>
                      </a:rPr>
                      <a:pPr/>
                      <a:t>[WARTOŚĆ]</a:t>
                    </a:fld>
                    <a:endParaRPr lang="pl-PL"/>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1093-4921-9BCC-225ABBA5089B}"/>
                </c:ext>
              </c:extLst>
            </c:dLbl>
            <c:numFmt formatCode="#,##0.00\ &quot;zł&quot;" sourceLinked="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Arkusz1!$A$2:$A$6</c:f>
              <c:strCache>
                <c:ptCount val="5"/>
                <c:pt idx="0">
                  <c:v>31.12.2017 r.</c:v>
                </c:pt>
                <c:pt idx="1">
                  <c:v>31.12.2018 r.</c:v>
                </c:pt>
                <c:pt idx="2">
                  <c:v>31.12.2019 r.</c:v>
                </c:pt>
                <c:pt idx="3">
                  <c:v>31.12.2020 r. </c:v>
                </c:pt>
                <c:pt idx="4">
                  <c:v>31.12.2021r.</c:v>
                </c:pt>
              </c:strCache>
            </c:strRef>
          </c:cat>
          <c:val>
            <c:numRef>
              <c:f>Arkusz1!$B$2:$B$6</c:f>
              <c:numCache>
                <c:formatCode>#\ ##0.00\ "zł"</c:formatCode>
                <c:ptCount val="5"/>
                <c:pt idx="0">
                  <c:v>66335049</c:v>
                </c:pt>
                <c:pt idx="1">
                  <c:v>61869158</c:v>
                </c:pt>
                <c:pt idx="2">
                  <c:v>60802043</c:v>
                </c:pt>
                <c:pt idx="3">
                  <c:v>45376196.359999999</c:v>
                </c:pt>
                <c:pt idx="4">
                  <c:v>72711283.950000003</c:v>
                </c:pt>
              </c:numCache>
            </c:numRef>
          </c:val>
          <c:extLst>
            <c:ext xmlns:c16="http://schemas.microsoft.com/office/drawing/2014/chart" uri="{C3380CC4-5D6E-409C-BE32-E72D297353CC}">
              <c16:uniqueId val="{00000000-1093-4921-9BCC-225ABBA5089B}"/>
            </c:ext>
          </c:extLst>
        </c:ser>
        <c:dLbls>
          <c:showLegendKey val="0"/>
          <c:showVal val="1"/>
          <c:showCatName val="0"/>
          <c:showSerName val="0"/>
          <c:showPercent val="0"/>
          <c:showBubbleSize val="0"/>
        </c:dLbls>
        <c:gapWidth val="75"/>
        <c:gapDepth val="94"/>
        <c:shape val="box"/>
        <c:axId val="630541032"/>
        <c:axId val="630547592"/>
        <c:axId val="0"/>
      </c:bar3DChart>
      <c:catAx>
        <c:axId val="6305410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pl-PL"/>
          </a:p>
        </c:txPr>
        <c:crossAx val="630547592"/>
        <c:crosses val="autoZero"/>
        <c:auto val="1"/>
        <c:lblAlgn val="ctr"/>
        <c:lblOffset val="100"/>
        <c:noMultiLvlLbl val="0"/>
      </c:catAx>
      <c:valAx>
        <c:axId val="630547592"/>
        <c:scaling>
          <c:orientation val="minMax"/>
        </c:scaling>
        <c:delete val="0"/>
        <c:axPos val="l"/>
        <c:majorGridlines>
          <c:spPr>
            <a:ln w="9525" cap="flat" cmpd="sng" algn="ctr">
              <a:solidFill>
                <a:schemeClr val="dk1">
                  <a:lumMod val="15000"/>
                  <a:lumOff val="85000"/>
                </a:schemeClr>
              </a:solidFill>
              <a:round/>
            </a:ln>
            <a:effectLst/>
          </c:spPr>
        </c:majorGridlines>
        <c:numFmt formatCode="#\ ##0.00\ &quot;zł&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pl-PL"/>
          </a:p>
        </c:txPr>
        <c:crossAx val="63054103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dk1">
          <a:lumMod val="25000"/>
          <a:lumOff val="75000"/>
        </a:schemeClr>
      </a:solidFill>
      <a:round/>
    </a:ln>
    <a:effectLst/>
  </c:spPr>
  <c:txPr>
    <a:bodyPr/>
    <a:lstStyle/>
    <a:p>
      <a:pPr>
        <a:defRPr>
          <a:solidFill>
            <a:schemeClr val="dk1"/>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19</Pages>
  <Words>4376</Words>
  <Characters>26261</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zarządzania długiem komunalnym Miasta Włocławek</dc:title>
  <dc:subject/>
  <dc:creator>Magdalena Cylc</dc:creator>
  <cp:keywords/>
  <dc:description/>
  <cp:lastModifiedBy>Łukasz Stolarski</cp:lastModifiedBy>
  <cp:revision>39</cp:revision>
  <cp:lastPrinted>2022-10-17T08:52:00Z</cp:lastPrinted>
  <dcterms:created xsi:type="dcterms:W3CDTF">2022-07-27T00:31:00Z</dcterms:created>
  <dcterms:modified xsi:type="dcterms:W3CDTF">2022-10-17T11:17:00Z</dcterms:modified>
</cp:coreProperties>
</file>