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43C5" w:rsidRPr="007B43C5" w:rsidRDefault="007B43C5" w:rsidP="007B43C5">
      <w:pPr>
        <w:rPr>
          <w:rFonts w:ascii="Arial" w:hAnsi="Arial" w:cs="Arial"/>
        </w:rPr>
      </w:pPr>
      <w:r w:rsidRPr="007B43C5">
        <w:rPr>
          <w:rFonts w:ascii="Arial" w:hAnsi="Arial" w:cs="Arial"/>
        </w:rPr>
        <w:t>Włocławek, 10 stycznia 2023 r.</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S.6220.38.2022</w:t>
      </w:r>
    </w:p>
    <w:p w:rsidR="007B43C5" w:rsidRPr="007B43C5" w:rsidRDefault="007B43C5" w:rsidP="007B43C5">
      <w:pPr>
        <w:rPr>
          <w:rFonts w:ascii="Arial" w:hAnsi="Arial" w:cs="Arial"/>
        </w:rPr>
      </w:pPr>
    </w:p>
    <w:p w:rsidR="007B43C5" w:rsidRPr="007B43C5" w:rsidRDefault="007B43C5" w:rsidP="007B43C5">
      <w:pPr>
        <w:rPr>
          <w:rFonts w:ascii="Arial" w:hAnsi="Arial" w:cs="Arial"/>
        </w:rPr>
      </w:pPr>
    </w:p>
    <w:p w:rsidR="007B43C5" w:rsidRPr="007B43C5" w:rsidRDefault="007B43C5" w:rsidP="007B43C5">
      <w:pPr>
        <w:rPr>
          <w:rFonts w:ascii="Arial" w:hAnsi="Arial" w:cs="Arial"/>
          <w:b/>
        </w:rPr>
      </w:pPr>
      <w:r w:rsidRPr="007B43C5">
        <w:rPr>
          <w:rFonts w:ascii="Arial" w:hAnsi="Arial" w:cs="Arial"/>
          <w:b/>
        </w:rPr>
        <w:t xml:space="preserve">Decyzja </w:t>
      </w:r>
    </w:p>
    <w:p w:rsidR="007B43C5" w:rsidRPr="007B43C5" w:rsidRDefault="007B43C5" w:rsidP="007B43C5">
      <w:pPr>
        <w:rPr>
          <w:rFonts w:ascii="Arial" w:hAnsi="Arial" w:cs="Arial"/>
          <w:b/>
        </w:rPr>
      </w:pPr>
      <w:r w:rsidRPr="007B43C5">
        <w:rPr>
          <w:rFonts w:ascii="Arial" w:hAnsi="Arial" w:cs="Arial"/>
          <w:b/>
        </w:rPr>
        <w:t xml:space="preserve">w sprawie zmiany decyzji o środowiskowych uwarunkowaniach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Na podstawie art. 87 w związku z art. 75 ust. 1 pkt 4 w związku z art. 71 ust. 2 pkt 2, art. 84, art. 85 ustawy z dnia 3 października 2008 r. o udostępnianiu informacji o środowisku, udziale społeczeństwa w ochronie środowiska oraz o ocenach oddziaływania na środowisko (Dz. U. z 2022 r., poz. 1029 ze zm.) w związku z art. 104 i art. 155 ustawy z dnia 14 czerwca 1960 r. Kodeks postępowania administracyjnego (Dz. U. 2022 r., poz. 2000 ze zm.), a także § 3 ust. 1 pkt 30 lit. c, pkt 34 lit. c, pkt 37 lit. c i d, pkt 54 lit. b rozporządzenia Rady Ministrów z dnia 10 września 2019 r. w sprawie przedsięwzięć mogących znacząco oddziaływać na środowisko (Dz. U. z 2019 r., poz. 1839 j.t.), po rozpatrzeniu wniosku Inwestorów: PKN ORLEN S.A. ul. Chemików 7, 09-411 Płock reprezentowanego przez pełnomocnika Pana Radosława Karwowskiego oraz ANWIL S.A. ul. Toruńska 222, 87-800 Włocławek reprezentowanego przez pełnomocnika Pana Piotra Sartanowicza </w:t>
      </w:r>
    </w:p>
    <w:p w:rsidR="007B43C5" w:rsidRPr="007B43C5" w:rsidRDefault="007B43C5" w:rsidP="007B43C5">
      <w:pPr>
        <w:rPr>
          <w:rFonts w:ascii="Arial" w:hAnsi="Arial" w:cs="Arial"/>
        </w:rPr>
      </w:pPr>
      <w:r w:rsidRPr="007B43C5">
        <w:rPr>
          <w:rFonts w:ascii="Arial" w:hAnsi="Arial" w:cs="Arial"/>
        </w:rPr>
        <w:t xml:space="preserve"> </w:t>
      </w:r>
    </w:p>
    <w:p w:rsidR="007B43C5" w:rsidRPr="007B43C5" w:rsidRDefault="007B43C5" w:rsidP="007B43C5">
      <w:pPr>
        <w:rPr>
          <w:rFonts w:ascii="Arial" w:hAnsi="Arial" w:cs="Arial"/>
          <w:b/>
        </w:rPr>
      </w:pPr>
      <w:r w:rsidRPr="007B43C5">
        <w:rPr>
          <w:rFonts w:ascii="Arial" w:hAnsi="Arial" w:cs="Arial"/>
          <w:b/>
        </w:rPr>
        <w:t>orzekam</w:t>
      </w:r>
    </w:p>
    <w:p w:rsidR="007B43C5" w:rsidRPr="007B43C5" w:rsidRDefault="007B43C5" w:rsidP="007B43C5">
      <w:pPr>
        <w:rPr>
          <w:rFonts w:ascii="Arial" w:hAnsi="Arial" w:cs="Arial"/>
          <w:b/>
        </w:rPr>
      </w:pPr>
    </w:p>
    <w:p w:rsidR="007B43C5" w:rsidRPr="007B43C5" w:rsidRDefault="007B43C5" w:rsidP="007B43C5">
      <w:pPr>
        <w:rPr>
          <w:rFonts w:ascii="Arial" w:hAnsi="Arial" w:cs="Arial"/>
        </w:rPr>
      </w:pPr>
      <w:r w:rsidRPr="007B43C5">
        <w:rPr>
          <w:rFonts w:ascii="Arial" w:hAnsi="Arial" w:cs="Arial"/>
        </w:rPr>
        <w:t xml:space="preserve">I. Zmienić za zgodą strony ostateczną decyzję Prezydenta Miasta Włocławek z dnia 05.08.2021 r. znak: S.6220.19.2021 o środowiskowych uwarunkowaniach dla przedsięwzięcia pn. </w:t>
      </w:r>
      <w:r w:rsidRPr="007B43C5">
        <w:rPr>
          <w:rFonts w:ascii="Arial" w:hAnsi="Arial" w:cs="Arial"/>
          <w:b/>
        </w:rPr>
        <w:t>„Budowa Dystrybucji Wodoru we Włocławku”</w:t>
      </w:r>
    </w:p>
    <w:p w:rsidR="007B43C5" w:rsidRPr="007B43C5" w:rsidRDefault="007B43C5" w:rsidP="007B43C5">
      <w:pPr>
        <w:rPr>
          <w:rFonts w:ascii="Arial" w:hAnsi="Arial" w:cs="Arial"/>
        </w:rPr>
      </w:pPr>
    </w:p>
    <w:p w:rsidR="007B43C5" w:rsidRPr="007B43C5" w:rsidRDefault="007B43C5" w:rsidP="007B43C5">
      <w:pPr>
        <w:rPr>
          <w:rFonts w:ascii="Arial" w:hAnsi="Arial" w:cs="Arial"/>
          <w:b/>
        </w:rPr>
      </w:pPr>
      <w:r w:rsidRPr="007B43C5">
        <w:rPr>
          <w:rFonts w:ascii="Arial" w:hAnsi="Arial" w:cs="Arial"/>
          <w:b/>
        </w:rPr>
        <w:t>i jednocześnie stwierdzam:</w:t>
      </w:r>
    </w:p>
    <w:p w:rsidR="007B43C5" w:rsidRPr="007B43C5" w:rsidRDefault="007B43C5" w:rsidP="007B43C5">
      <w:pPr>
        <w:rPr>
          <w:rFonts w:ascii="Arial" w:hAnsi="Arial" w:cs="Arial"/>
        </w:rPr>
      </w:pPr>
    </w:p>
    <w:p w:rsidR="007B43C5" w:rsidRPr="007B43C5" w:rsidRDefault="007B43C5" w:rsidP="007B43C5">
      <w:pPr>
        <w:rPr>
          <w:rFonts w:ascii="Arial" w:hAnsi="Arial" w:cs="Arial"/>
          <w:b/>
        </w:rPr>
      </w:pPr>
      <w:r w:rsidRPr="007B43C5">
        <w:rPr>
          <w:rFonts w:ascii="Arial" w:hAnsi="Arial" w:cs="Arial"/>
        </w:rPr>
        <w:t>II. Brak potrzeby przeprowadzenia oceny oddziaływania na środowisko dla przedsięwzięcia pn. „</w:t>
      </w:r>
      <w:r w:rsidRPr="007B43C5">
        <w:rPr>
          <w:rFonts w:ascii="Arial" w:hAnsi="Arial" w:cs="Arial"/>
          <w:b/>
        </w:rPr>
        <w:t>Budowa Dystrybucji Wodoru we Włocławku”</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III. Wymagania dotyczące ochrony środowiska konieczne do uwzględnienia w dokumentacji wymaganej do wydania decyzji, o których mowa w art. 72 ust. 1, w szczególności w projekcie budowlanym, w przypadku decyzji, o których mowa w art. 72 ust.1 pkt 1, 10, 14, 18 i 21, w tym w szczególności: </w:t>
      </w:r>
    </w:p>
    <w:p w:rsidR="007B43C5" w:rsidRPr="007B43C5" w:rsidRDefault="007B43C5" w:rsidP="007B43C5">
      <w:pPr>
        <w:numPr>
          <w:ilvl w:val="0"/>
          <w:numId w:val="1"/>
        </w:numPr>
        <w:rPr>
          <w:rFonts w:ascii="Arial" w:hAnsi="Arial" w:cs="Arial"/>
        </w:rPr>
      </w:pPr>
      <w:r w:rsidRPr="007B43C5">
        <w:rPr>
          <w:rFonts w:ascii="Arial" w:hAnsi="Arial" w:cs="Arial"/>
        </w:rPr>
        <w:t xml:space="preserve">Zainstalować maksymalnie następujące nowe punktowe źródła hałasu: </w:t>
      </w:r>
    </w:p>
    <w:p w:rsidR="007B43C5" w:rsidRPr="007B43C5" w:rsidRDefault="007B43C5" w:rsidP="007B43C5">
      <w:pPr>
        <w:numPr>
          <w:ilvl w:val="0"/>
          <w:numId w:val="2"/>
        </w:numPr>
        <w:rPr>
          <w:rFonts w:ascii="Arial" w:hAnsi="Arial" w:cs="Arial"/>
        </w:rPr>
      </w:pPr>
      <w:r w:rsidRPr="007B43C5">
        <w:rPr>
          <w:rFonts w:ascii="Arial" w:hAnsi="Arial" w:cs="Arial"/>
        </w:rPr>
        <w:t xml:space="preserve">ISBL - Budynek Trafo: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centrala wentylacyjna o maksymalnym poziomie mocy akustycznej 70dB(A) szt. 1,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wentylator dachowy o maksymalnym poziomie mocy akustycznej 70dB(A) - szt. 1, </w:t>
      </w:r>
    </w:p>
    <w:p w:rsidR="007B43C5" w:rsidRPr="007B43C5" w:rsidRDefault="007B43C5" w:rsidP="007B43C5">
      <w:pPr>
        <w:ind w:left="1500"/>
        <w:rPr>
          <w:rFonts w:ascii="Arial" w:hAnsi="Arial" w:cs="Arial"/>
        </w:rPr>
      </w:pPr>
      <w:r w:rsidRPr="007B43C5">
        <w:rPr>
          <w:rFonts w:ascii="Arial" w:hAnsi="Arial" w:cs="Arial"/>
        </w:rPr>
        <w:t>- agregat skraplający o maksymalnym poziomie mocy akustycznej 80dB(A) -szt. 6,</w:t>
      </w:r>
    </w:p>
    <w:p w:rsidR="007B43C5" w:rsidRPr="007B43C5" w:rsidRDefault="007B43C5" w:rsidP="007B43C5">
      <w:pPr>
        <w:ind w:left="1500"/>
        <w:rPr>
          <w:rFonts w:ascii="Arial" w:hAnsi="Arial" w:cs="Arial"/>
        </w:rPr>
      </w:pPr>
      <w:r w:rsidRPr="007B43C5">
        <w:rPr>
          <w:rFonts w:ascii="Arial" w:hAnsi="Arial" w:cs="Arial"/>
        </w:rPr>
        <w:t xml:space="preserve">- wyrzutnie/czerpnie powietrza (hałas na fasadzie) o maksymalnym poziomie mocy akustycznej 80dB(A) - szt. 4; </w:t>
      </w:r>
    </w:p>
    <w:p w:rsidR="007B43C5" w:rsidRPr="007B43C5" w:rsidRDefault="007B43C5" w:rsidP="007B43C5">
      <w:pPr>
        <w:numPr>
          <w:ilvl w:val="0"/>
          <w:numId w:val="2"/>
        </w:numPr>
        <w:rPr>
          <w:rFonts w:ascii="Arial" w:hAnsi="Arial" w:cs="Arial"/>
          <w:lang w:val="en-US"/>
        </w:rPr>
      </w:pPr>
      <w:r w:rsidRPr="007B43C5">
        <w:rPr>
          <w:rFonts w:ascii="Arial" w:hAnsi="Arial" w:cs="Arial"/>
          <w:lang w:val="en-US"/>
        </w:rPr>
        <w:t xml:space="preserve">ISBL - Kontener analizatora „on-line”: </w:t>
      </w:r>
      <w:r w:rsidRPr="007B43C5">
        <w:rPr>
          <w:rFonts w:ascii="Arial" w:hAnsi="Arial" w:cs="Arial"/>
          <w:lang w:val="en-US"/>
        </w:rPr>
        <w:softHyphen/>
        <w:t xml:space="preserve"> </w:t>
      </w:r>
    </w:p>
    <w:p w:rsidR="007B43C5" w:rsidRPr="007B43C5" w:rsidRDefault="007B43C5" w:rsidP="007B43C5">
      <w:pPr>
        <w:numPr>
          <w:ilvl w:val="0"/>
          <w:numId w:val="3"/>
        </w:numPr>
        <w:rPr>
          <w:rFonts w:ascii="Arial" w:hAnsi="Arial" w:cs="Arial"/>
        </w:rPr>
      </w:pPr>
      <w:r w:rsidRPr="007B43C5">
        <w:rPr>
          <w:rFonts w:ascii="Arial" w:hAnsi="Arial" w:cs="Arial"/>
        </w:rPr>
        <w:t xml:space="preserve">wentylator o maksymalnym poziomie mocy akustycznej 55dB(A) - szt. 2, </w:t>
      </w:r>
      <w:r w:rsidRPr="007B43C5">
        <w:rPr>
          <w:rFonts w:ascii="Arial" w:hAnsi="Arial" w:cs="Arial"/>
        </w:rPr>
        <w:softHyphen/>
        <w:t xml:space="preserve"> </w:t>
      </w:r>
    </w:p>
    <w:p w:rsidR="007B43C5" w:rsidRPr="007B43C5" w:rsidRDefault="007B43C5" w:rsidP="007B43C5">
      <w:pPr>
        <w:numPr>
          <w:ilvl w:val="0"/>
          <w:numId w:val="3"/>
        </w:numPr>
        <w:rPr>
          <w:rFonts w:ascii="Arial" w:hAnsi="Arial" w:cs="Arial"/>
        </w:rPr>
      </w:pPr>
      <w:r w:rsidRPr="007B43C5">
        <w:rPr>
          <w:rFonts w:ascii="Arial" w:hAnsi="Arial" w:cs="Arial"/>
        </w:rPr>
        <w:lastRenderedPageBreak/>
        <w:t xml:space="preserve">klimatyzator o maksymalnym poziomie mocy akustycznej 75dB(A) - szt. 2; </w:t>
      </w:r>
    </w:p>
    <w:p w:rsidR="007B43C5" w:rsidRPr="007B43C5" w:rsidRDefault="007B43C5" w:rsidP="007B43C5">
      <w:pPr>
        <w:numPr>
          <w:ilvl w:val="0"/>
          <w:numId w:val="2"/>
        </w:numPr>
        <w:rPr>
          <w:rFonts w:ascii="Arial" w:hAnsi="Arial" w:cs="Arial"/>
        </w:rPr>
      </w:pPr>
      <w:r w:rsidRPr="007B43C5">
        <w:rPr>
          <w:rFonts w:ascii="Arial" w:hAnsi="Arial" w:cs="Arial"/>
        </w:rPr>
        <w:t xml:space="preserve">ISBL - Plac: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kompresory membranowe nr 1 i nr 2 na terenie placu ISBL o maksymalnym poziomie mocy akustycznej 93,0dB(A) - szt. 2,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kompresor tail gazu, na terenie placu ISBL o maksymalnym poziom mocy akustycznej 93,0dB(A) - szt. 1,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wyrzut technologiczny o maksymalnym poziom mocy akustycznej 85,0dB(A) - szt. 1,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skid zaworowy instalacji odtleniania (De-oxo) o maksymalnym poziom mocy akustycznej 85,0dB(A) - szt.1,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skid zaworowy instalacji oczyszczania wodoru (PSA) o maksymalnym poziom mocy akustycznej 85,0dB(A) - szt.1; </w:t>
      </w:r>
    </w:p>
    <w:p w:rsidR="007B43C5" w:rsidRPr="007B43C5" w:rsidRDefault="007B43C5" w:rsidP="007B43C5">
      <w:pPr>
        <w:numPr>
          <w:ilvl w:val="0"/>
          <w:numId w:val="2"/>
        </w:numPr>
        <w:rPr>
          <w:rFonts w:ascii="Arial" w:hAnsi="Arial" w:cs="Arial"/>
        </w:rPr>
      </w:pPr>
      <w:r w:rsidRPr="007B43C5">
        <w:rPr>
          <w:rFonts w:ascii="Arial" w:hAnsi="Arial" w:cs="Arial"/>
        </w:rPr>
        <w:t xml:space="preserve">OSBL - Budynek Administracyjny (budynek dyspozytorni):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centrala wentylacyjna o maksymalnym poziomie mocy akustycznej 70dB(A) - szt. 2, </w:t>
      </w:r>
      <w:r w:rsidRPr="007B43C5">
        <w:rPr>
          <w:rFonts w:ascii="Arial" w:hAnsi="Arial" w:cs="Arial"/>
        </w:rPr>
        <w:softHyphen/>
        <w:t xml:space="preserve"> - wentylator dachowy o maksymalnym poziomie mocy akustycznej 70dB(A) - szt. 3,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agregat skraplający o maksymalnym poziomie mocy akustycznej 80dB(A) - szt. 7, </w:t>
      </w:r>
    </w:p>
    <w:p w:rsidR="007B43C5" w:rsidRPr="007B43C5" w:rsidRDefault="007B43C5" w:rsidP="007B43C5">
      <w:pPr>
        <w:numPr>
          <w:ilvl w:val="0"/>
          <w:numId w:val="2"/>
        </w:numPr>
        <w:rPr>
          <w:rFonts w:ascii="Arial" w:hAnsi="Arial" w:cs="Arial"/>
        </w:rPr>
      </w:pPr>
      <w:r w:rsidRPr="007B43C5">
        <w:rPr>
          <w:rFonts w:ascii="Arial" w:hAnsi="Arial" w:cs="Arial"/>
        </w:rPr>
        <w:t xml:space="preserve">OSBL - Budynek portierni: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agregat skraplający o maksymalnym poziomie mocy akustycznej 80dB(A) - szt. 1,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wentylator dachowy o maksymalnym poziomie mocy akustycznej 65dB(A) - szt. 1; </w:t>
      </w:r>
    </w:p>
    <w:p w:rsidR="007B43C5" w:rsidRPr="007B43C5" w:rsidRDefault="007B43C5" w:rsidP="007B43C5">
      <w:pPr>
        <w:numPr>
          <w:ilvl w:val="0"/>
          <w:numId w:val="2"/>
        </w:numPr>
        <w:rPr>
          <w:rFonts w:ascii="Arial" w:hAnsi="Arial" w:cs="Arial"/>
        </w:rPr>
      </w:pPr>
      <w:r w:rsidRPr="007B43C5">
        <w:rPr>
          <w:rFonts w:ascii="Arial" w:hAnsi="Arial" w:cs="Arial"/>
        </w:rPr>
        <w:t xml:space="preserve">OSBL - Plac manewrowy: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instalacje stanowisk nalewczych nr 1 i nr 2, na terenie placu manewrowego o maksymalnym poziomie mocy akustycznej 64,0 dB(A) - szt. 2,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wyrzut technologiczny o maksymalnym poziomie mocy akustycznej 85,0dB(A) - szt. 1. 3 </w:t>
      </w:r>
    </w:p>
    <w:p w:rsidR="007B43C5" w:rsidRPr="007B43C5" w:rsidRDefault="007B43C5" w:rsidP="007B43C5">
      <w:pPr>
        <w:ind w:left="1500"/>
        <w:rPr>
          <w:rFonts w:ascii="Arial" w:hAnsi="Arial" w:cs="Arial"/>
        </w:rPr>
      </w:pPr>
    </w:p>
    <w:p w:rsidR="007B43C5" w:rsidRPr="007B43C5" w:rsidRDefault="007B43C5" w:rsidP="007B43C5">
      <w:pPr>
        <w:rPr>
          <w:rFonts w:ascii="Arial" w:hAnsi="Arial" w:cs="Arial"/>
        </w:rPr>
      </w:pPr>
      <w:r w:rsidRPr="007B43C5">
        <w:rPr>
          <w:rFonts w:ascii="Arial" w:hAnsi="Arial" w:cs="Arial"/>
          <w:b/>
          <w:bCs/>
        </w:rPr>
        <w:t>IV. Pozostałe warunki</w:t>
      </w:r>
      <w:r w:rsidRPr="007B43C5">
        <w:rPr>
          <w:rFonts w:ascii="Arial" w:hAnsi="Arial" w:cs="Arial"/>
        </w:rPr>
        <w:t xml:space="preserve"> określone w decyzji z dnia 05.08.22021 r., znak:</w:t>
      </w:r>
      <w:r>
        <w:rPr>
          <w:rFonts w:ascii="Arial" w:hAnsi="Arial" w:cs="Arial"/>
        </w:rPr>
        <w:t xml:space="preserve"> </w:t>
      </w:r>
      <w:r w:rsidRPr="007B43C5">
        <w:rPr>
          <w:rFonts w:ascii="Arial" w:hAnsi="Arial" w:cs="Arial"/>
        </w:rPr>
        <w:t>S.6220.19.2021 o środowiskowych uwarunkowaniach pozostają bez zmian, za wyjątkiem wskazanych w pkt III które zmienione zostały niniejszą decyzją.</w:t>
      </w:r>
    </w:p>
    <w:p w:rsidR="007B43C5" w:rsidRPr="007B43C5" w:rsidRDefault="007B43C5" w:rsidP="007B43C5">
      <w:pPr>
        <w:rPr>
          <w:rFonts w:ascii="Arial" w:hAnsi="Arial" w:cs="Arial"/>
          <w:b/>
        </w:rPr>
      </w:pPr>
    </w:p>
    <w:p w:rsidR="007B43C5" w:rsidRPr="007B43C5" w:rsidRDefault="007B43C5" w:rsidP="007B43C5">
      <w:pPr>
        <w:rPr>
          <w:rFonts w:ascii="Arial" w:hAnsi="Arial" w:cs="Arial"/>
          <w:b/>
        </w:rPr>
      </w:pPr>
      <w:r w:rsidRPr="007B43C5">
        <w:rPr>
          <w:rFonts w:ascii="Arial" w:hAnsi="Arial" w:cs="Arial"/>
          <w:b/>
        </w:rPr>
        <w:t>Uzasadnienie</w:t>
      </w:r>
    </w:p>
    <w:p w:rsidR="007B43C5" w:rsidRPr="007B43C5" w:rsidRDefault="007B43C5" w:rsidP="007B43C5">
      <w:pPr>
        <w:rPr>
          <w:rFonts w:ascii="Arial" w:hAnsi="Arial" w:cs="Arial"/>
          <w:b/>
        </w:rPr>
      </w:pPr>
    </w:p>
    <w:p w:rsidR="007B43C5" w:rsidRPr="007B43C5" w:rsidRDefault="007B43C5" w:rsidP="007B43C5">
      <w:pPr>
        <w:rPr>
          <w:rFonts w:ascii="Arial" w:hAnsi="Arial" w:cs="Arial"/>
        </w:rPr>
      </w:pPr>
      <w:r w:rsidRPr="007B43C5">
        <w:rPr>
          <w:rFonts w:ascii="Arial" w:hAnsi="Arial" w:cs="Arial"/>
        </w:rPr>
        <w:t>W dniu 05.08.2021 r. znak: S.6220.19.2021 Prezydent Miasta Włocławek wydał decyzję o środowiskowych uwarunkowaniach dla planowanego zamierzenia inwestycyjnego pn. „Budowa Dystrybucji Wodoru we Włocławku”.</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W dniu 29.08.2022 r. Pan Radosław Karwowski i Pan Piotr Sartanowicz</w:t>
      </w:r>
      <w:r>
        <w:rPr>
          <w:rFonts w:ascii="Arial" w:hAnsi="Arial" w:cs="Arial"/>
        </w:rPr>
        <w:t xml:space="preserve"> </w:t>
      </w:r>
      <w:r w:rsidRPr="007B43C5">
        <w:rPr>
          <w:rFonts w:ascii="Arial" w:hAnsi="Arial" w:cs="Arial"/>
        </w:rPr>
        <w:t>pełnomocnicy Inwestorów: PKN ORLEN S.A. i ANWIL S.A. wystąpili z wnioskiem o zmianę ww. ostatecznej decyzji.</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Zmiana decyzji o środowiskowych uwarunkowaniach podyktowana jest nieznacznymi zmianami w odniesieniu do koncepcji, która była podstawą do wydania ww. decyzji. Obecnie jest realizowany zamienny projekt budowlany i technologiczny.</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lastRenderedPageBreak/>
        <w:t xml:space="preserve">Na podstawie przedłożonej dokumentacji w przedmiocie dokonanych zmian, w dniu 13.09.2022 r. zawiadomiono strony postępowania o wszczęciu postępowania administracyjnego. W wyznaczonym 14 –dniowym terminie nie zostały zgłoszone żadne uwagi i wnioski, co do realizacji planowanej inwestycji.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Na podstawie art. 64 ust. 1 pkt 1, pkt 2, pkt 3 i pkt 4 ustawy o udostępnianiu informacji o środowisku i jego ochronie, udziale społeczeństwa w ochronie środowiska oraz o ocenach oddziaływania na środowisko, organ prowadzący postępowanie wystąpił o opinię dotyczącą obowiązku przeprowadzenia oceny oddziaływania na środowisko oraz w przypadku stwierdzenia takiej potrzeby, o określenie zakresu raportu o oddziaływaniu na środowisko do Regionalnego Dyrektora Ochrony Środowiska w Bydgoszczy, Państwowego Powiatowego Inspektora Sanitarnego we Włocławku, Marszałka Województwa Kujawsko-Pomorskiego w Toruniu oraz do Państwowego Gospodarstwa Wodnego Wody Polskie – Zarząd Zlewni w Toruniu.</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Planowane przedsięwzięcie należy do kategorii przedsięwzięć, o których mowa w art. 71 ust. 2 pkt 2 ustawy z dnia 3 października 2008 r. o udostępnieniu informacji o środowisku i jego ochronie, udziale społeczeństwa w ochronie środowiska oraz o ocenach oddziaływania na środowisko (Dz. U. z 2022 r., poz. 1029 ze zm.).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Rodzaj, parametry techniczne oraz zasięg planowanego oddziaływania przedmiotowej inwestycji na środowisko zaliczają ją do grupy przedsięwzięć mogących potencjalnie znacząco oddziaływać na środowisko wymienionych w cyt. rozporządzeniu Rady Ministrów z dnia 10 września 2019 r., tj.: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 3 ust 1 pkt 30 lit. c - „instalacje do przesyłu substancji lub mieszanin, w rozumieniu odpowiednio art. 3 pkt 1 i 2 rozporządzenia nr 1907/2006, niebędących produktami spożywczymi inne niż wymienione </w:t>
      </w:r>
      <w:r w:rsidRPr="007B43C5">
        <w:rPr>
          <w:rFonts w:ascii="Arial" w:hAnsi="Arial" w:cs="Arial"/>
        </w:rPr>
        <w:br/>
        <w:t xml:space="preserve">w § 2 ust. 1 pkt 20”;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 3 ust 1 pkt 34 lit. c - „instalacje do dystrybucji substancji lub mieszanin, w rozumieniu odpowiednio art. 3 pkt 1 i 2 rozporządzenia nr 1907/2006, niebędących produktami spożywczymi”;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 3 ust 1 pkt 37 lit. c i d - „instalacje do naziemnego magazynowania: c) substancji lub mieszanin, </w:t>
      </w:r>
      <w:r w:rsidRPr="007B43C5">
        <w:rPr>
          <w:rFonts w:ascii="Arial" w:hAnsi="Arial" w:cs="Arial"/>
        </w:rPr>
        <w:br/>
        <w:t xml:space="preserve">w rozumieniu odpowiednio art. 3 pkt 1 i 2 rozporządzenia nr 1907/2006, niebędących produktami spożywczymi, d) gazów łatwopalnych, inne niż wymienione w § 2 ust. 1 pkt 22, z wyłączeniem instalacji </w:t>
      </w:r>
      <w:r w:rsidRPr="007B43C5">
        <w:rPr>
          <w:rFonts w:ascii="Arial" w:hAnsi="Arial" w:cs="Arial"/>
        </w:rPr>
        <w:br/>
        <w:t>do magazynowania paliw wykorzystywanych na potrzeby gospodarstw domowych, zbiorników na gaz płynny o łącznej pojemności nie większej niż 10 m</w:t>
      </w:r>
      <w:r w:rsidRPr="007B43C5">
        <w:rPr>
          <w:rFonts w:ascii="Arial" w:hAnsi="Arial" w:cs="Arial"/>
          <w:vertAlign w:val="superscript"/>
        </w:rPr>
        <w:t>3</w:t>
      </w:r>
      <w:r w:rsidRPr="007B43C5">
        <w:rPr>
          <w:rFonts w:ascii="Arial" w:hAnsi="Arial" w:cs="Arial"/>
        </w:rPr>
        <w:t xml:space="preserve"> oraz zbiorników na olej o łącznej pojemności nie większej niż 3 m3 , a także niezwiązanych z dystrybucją instalacji do magazynowania stałych surowców energetycznych”;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 3 ust 1 pkt 54 lit. b: „zabudowa przemysłowa, w tym zabudowa systemami fotowoltaicznymi, lub magazynowa, wraz z towarzyszącą jej infrastrukturą, o powierzchni zabudowy nie mniejszej niż 1 ha </w:t>
      </w:r>
      <w:r w:rsidRPr="007B43C5">
        <w:rPr>
          <w:rFonts w:ascii="Arial" w:hAnsi="Arial" w:cs="Arial"/>
        </w:rPr>
        <w:br/>
        <w:t>na obszarach innych niż wymienione w lit. a”.</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Pismem z dnia 20.09.2022 r. znak: GD.ZZŚ.5.435.501.2021.WL Zarząd Zlewni w Toruniu wyraził opinię o braku konieczności przeprowadzenia oceny oddziaływania na środowisko. Ponadto wskazał, iż w zakresie oddziaływania przedmiotowego </w:t>
      </w:r>
      <w:r w:rsidRPr="007B43C5">
        <w:rPr>
          <w:rFonts w:ascii="Arial" w:hAnsi="Arial" w:cs="Arial"/>
        </w:rPr>
        <w:lastRenderedPageBreak/>
        <w:t xml:space="preserve">przedsięwzięcia na stan jednolitych części wód oraz na realizację celów środowiskowych określonych dla nich w „Planie gospodarowania wodami na obszarze dorzecza Wisły” zachować warunki ujęte w ww. opinii. Wyjaśnić należy, że w wyniku weryfikacji wskazań Zarządu Zlewni w Toruniu ustalono, że warunki przytoczone w niniejszej opinii są tożsame z warunkami wpisanymi w decyzji z dnia 05.08.2021 r. znak: S.6220.19.2021 i są nadal obowiązujące, wobec tego nie zostały one ponownie wpisane w sentencji niniejszej decyzji.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Pismem z dnia 28.09.2022 r. znak: N.NZ-42-05-103/22 L.dz.: 7446 Państwowy Powiatowy Inspektor Sanitarny we Włocławku wyraził opinię, że dla realizacji planowanej inwestycji, nie istnieje konieczność przeprowadzenia oceny oddziaływania na środowisko.</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Pismem z dnia 11.10.2022 r. znak: WOO.4220.946.2022.AG.2 Regionalny Dyrektor Ochrony Środowiska w Bydgoszczy wezwał pełnomocnika inwestorów do przekazania wyjaśnień zawartych w karcie informacyjnej przedsięwzięcia.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Zawiadomieniem z dnia 29.11.2022 r. znak: WOO.4220.946.2022.AG.3 Regionalny Dyrektor Ochrony Środowiska w Bydgoszczy poinformował, że wydanie opinii nie jest możliwe w ustawowym terminie, z uwagi na prowadzone czynności wyjaśniające. Wyznaczony został nowy termin wydania przedmiotowej opinii, do dnia 07.012.2022 r.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Postanowieniem z dnia 07.12.2022 r. znak: WOO.4220.946.2022.AG.4 Regionalny Dyrektor Ochrony Środowiska w Bydgoszczy wyraził opinię, że dla realizacji planowanej inwestycji, nie ma potrzeby przeprowadzenia oceny oddziaływania na środowisko, określając wymagania dotyczące ochrony środowiska konieczne do uwzględnienia w decyzji o środowiskowych uwarunkowaniach, w szczególności konieczne do uwzględnienia w projekcie budowlanym. Warunki te zostały wpisane w sentencji niniejszej decyzji.</w:t>
      </w:r>
    </w:p>
    <w:p w:rsidR="00544557" w:rsidRDefault="00544557"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Analizując wskazane wyżej opinie Regionalnego Dyrektora Ochrony Środowiska w Bydgoszczy, Państwowego Powiatowego Inspektora Sanitarnego we Włocławku, Marszałka Województwa Kujawsko-Pomorskiego w Toruniu oraz Zarządu Zlewni w Toruniu, tut. organ wziął pod uwagę rodzaj, skalę oraz usytuowanie planowanego przedsięwzięcia i stwierdził, że projektowana inwestycja nie będzie miała negatywnego wpływu na poszczególne elementy środowiska, dlatego też nie zachodzi konieczność przeprowadzenia oceny oddziaływania przedsięwzięcia na środowisko.</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Mając powyższe na uwadze, dopełniono procedury określonej w art. 10 ustawy Kodeks postępowania administracyjnego, mianowicie w dniu 12.12.2022 r. znak: S.6220.38.2022 zawiadomiono strony o zakończeniu postępowania.</w:t>
      </w:r>
      <w:r w:rsidRPr="007B43C5">
        <w:rPr>
          <w:rFonts w:ascii="Arial" w:hAnsi="Arial" w:cs="Arial"/>
          <w:color w:val="000000"/>
        </w:rPr>
        <w:t xml:space="preserve"> </w:t>
      </w:r>
      <w:r w:rsidRPr="007B43C5">
        <w:rPr>
          <w:rFonts w:ascii="Arial" w:hAnsi="Arial" w:cs="Arial"/>
        </w:rPr>
        <w:t>W</w:t>
      </w:r>
      <w:r w:rsidR="00544557">
        <w:rPr>
          <w:rFonts w:ascii="Arial" w:hAnsi="Arial" w:cs="Arial"/>
        </w:rPr>
        <w:t xml:space="preserve"> </w:t>
      </w:r>
      <w:r w:rsidRPr="007B43C5">
        <w:rPr>
          <w:rFonts w:ascii="Arial" w:hAnsi="Arial" w:cs="Arial"/>
        </w:rPr>
        <w:t xml:space="preserve">wyznaczonym 7 –dniowym terminie nie zostały zgłoszone żadne </w:t>
      </w:r>
      <w:r w:rsidRPr="007B43C5">
        <w:rPr>
          <w:rFonts w:ascii="Arial" w:hAnsi="Arial" w:cs="Arial"/>
          <w:color w:val="000000"/>
        </w:rPr>
        <w:t>zastrzeżenia, co do planowanego przedsięwzięcia.</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Zgodnie z art. 85 ust. 2 pkt 2 ustawy o udostępnieniu informacji o środowisku i jego ochronie, udziale społeczeństwa w ochronie środowiska oraz o ocenach oddziaływania na środowisko</w:t>
      </w:r>
      <w:r w:rsidRPr="007B43C5">
        <w:rPr>
          <w:rFonts w:ascii="Arial" w:hAnsi="Arial" w:cs="Arial"/>
          <w:i/>
        </w:rPr>
        <w:t xml:space="preserve">, </w:t>
      </w:r>
      <w:r w:rsidRPr="007B43C5">
        <w:rPr>
          <w:rFonts w:ascii="Arial" w:hAnsi="Arial" w:cs="Arial"/>
        </w:rPr>
        <w:t>w niniejszym postępowaniu uwzględniono zapisy art. 63 ust. 1 cytowanej ustawy, tj.:</w:t>
      </w:r>
    </w:p>
    <w:p w:rsidR="007B43C5" w:rsidRPr="007B43C5" w:rsidRDefault="007B43C5" w:rsidP="007B43C5">
      <w:pPr>
        <w:rPr>
          <w:rFonts w:ascii="Arial" w:hAnsi="Arial" w:cs="Arial"/>
        </w:rPr>
      </w:pPr>
    </w:p>
    <w:p w:rsidR="007B43C5" w:rsidRPr="007B43C5" w:rsidRDefault="007B43C5" w:rsidP="007B43C5">
      <w:pPr>
        <w:rPr>
          <w:rFonts w:ascii="Arial" w:hAnsi="Arial" w:cs="Arial"/>
          <w:vertAlign w:val="superscript"/>
        </w:rPr>
      </w:pPr>
      <w:r w:rsidRPr="007B43C5">
        <w:rPr>
          <w:rFonts w:ascii="Arial" w:hAnsi="Arial" w:cs="Arial"/>
        </w:rPr>
        <w:t>W ramach zmian projekt zakłada budowę dwóch dróg przebiegających po wschodniej i zachodniej stronie terenu OSBL na działce 80/4. Łączna powierzchnia tych dróg  - terenu utwardzonego to ok. 362,37 m</w:t>
      </w:r>
      <w:r w:rsidRPr="007B43C5">
        <w:rPr>
          <w:rFonts w:ascii="Arial" w:hAnsi="Arial" w:cs="Arial"/>
          <w:vertAlign w:val="superscript"/>
        </w:rPr>
        <w:t>2</w:t>
      </w:r>
      <w:r w:rsidRPr="007B43C5">
        <w:rPr>
          <w:rFonts w:ascii="Arial" w:hAnsi="Arial" w:cs="Arial"/>
        </w:rPr>
        <w:t xml:space="preserve">. Drogi połączą obszar OSBL z tzw. „drogą odciążającą”. Powyższe zmiany nie wprowadzają nowych terenów, które będą zajęte przez poszczególne elementy inwestycji, jedynie ze względu </w:t>
      </w:r>
      <w:r w:rsidRPr="007B43C5">
        <w:rPr>
          <w:rFonts w:ascii="Arial" w:hAnsi="Arial" w:cs="Arial"/>
        </w:rPr>
        <w:br/>
        <w:t xml:space="preserve">na doprecyzowanie zapisów w projekcie budowlanym wskazano konieczność korekty w zapisie dotyczącym lokalizacji dróg wewnętrznych, które zajmują odpowiednio nowe obszary działek 80/3 i 80/4 wskazanych już w decyzji i poprzedniej dokumentacji jako działki zajęte przez planowane zamierzenie.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Dodatkowo, ze względu na uszczegółowienie danych przez dostawców technologii na temat lokalizacji oraz parametrów akustycznych poszczególnych źródeł hałasu, zaktualizowano dotychczasowy model obliczeniowy. Kubaturowe źródła hałasu, symulujące wspólną emisję elementów znajdujących się na poszczególnych budynkach, zastąpiono pojedynczymi źródłami punktowymi o scharakteryzowanych mocach akustycznych oraz pozycji względem elewacji oraz dachów.</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Doprecyzowano również informacje dotyczące zajęcia terenu przez poszczególne elementy inwestycji oraz wielkości powierzchni i obszarów utwardzonych.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Ponadto, uwzględniono zmiany: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w zakresie infrastruktury podziemnej – zmiana lokalizacji kabli energetycznych, nowe sieci wodociągowe,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w zakresie zużycie mediów: energii elektrycznej, wody obiegowej, powietrza, azotu,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w zakresie ilości przesyłanego gazu resztkowego, </w:t>
      </w:r>
      <w:r w:rsidRPr="007B43C5">
        <w:rPr>
          <w:rFonts w:ascii="Arial" w:hAnsi="Arial" w:cs="Arial"/>
        </w:rPr>
        <w:softHyphen/>
        <w:t xml:space="preserve"> mocy silnika kompresorów i rodzaj kompresorów na potrzeby sprężania wodoru.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Powyższe kwestie zostały wyszczególnione w przedłożonej w ramach obecnego postępowania uaktualnionej Kip.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Po wprowadzonych modyfikacjach zamierzenie obejmuje: </w:t>
      </w:r>
    </w:p>
    <w:p w:rsidR="007B43C5" w:rsidRPr="007B43C5" w:rsidRDefault="007B43C5" w:rsidP="007B43C5">
      <w:pPr>
        <w:numPr>
          <w:ilvl w:val="0"/>
          <w:numId w:val="4"/>
        </w:numPr>
        <w:rPr>
          <w:rFonts w:ascii="Arial" w:hAnsi="Arial" w:cs="Arial"/>
        </w:rPr>
      </w:pPr>
      <w:r w:rsidRPr="007B43C5">
        <w:rPr>
          <w:rFonts w:ascii="Arial" w:hAnsi="Arial" w:cs="Arial"/>
        </w:rPr>
        <w:t xml:space="preserve">przygotowanie terenu pod planowane obiekty: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OSBL: wycinka drzew wzdłuż ogrodzenia na działkach nr 80/3 i 80/4 (wydzielone z dz. nr 80/2) obręb Azoty, pod budowę węzła dystrybucji wodoru; </w:t>
      </w:r>
      <w:r w:rsidRPr="007B43C5">
        <w:rPr>
          <w:rFonts w:ascii="Arial" w:hAnsi="Arial" w:cs="Arial"/>
        </w:rPr>
        <w:softHyphen/>
      </w:r>
    </w:p>
    <w:p w:rsidR="007B43C5" w:rsidRPr="007B43C5" w:rsidRDefault="007B43C5" w:rsidP="007B43C5">
      <w:pPr>
        <w:ind w:left="1500"/>
        <w:rPr>
          <w:rFonts w:ascii="Arial" w:hAnsi="Arial" w:cs="Arial"/>
        </w:rPr>
      </w:pPr>
      <w:r w:rsidRPr="007B43C5">
        <w:rPr>
          <w:rFonts w:ascii="Arial" w:hAnsi="Arial" w:cs="Arial"/>
        </w:rPr>
        <w:t xml:space="preserve">- ISBL: rozbiórka istniejącego budynku i fragmentu rurociągu na działce nr 97 obręb Azoty, pod budowę elementów węzła oczyszczania wodoru; </w:t>
      </w:r>
    </w:p>
    <w:p w:rsidR="007B43C5" w:rsidRPr="007B43C5" w:rsidRDefault="007B43C5" w:rsidP="007B43C5">
      <w:pPr>
        <w:numPr>
          <w:ilvl w:val="0"/>
          <w:numId w:val="4"/>
        </w:numPr>
        <w:rPr>
          <w:rFonts w:ascii="Arial" w:hAnsi="Arial" w:cs="Arial"/>
        </w:rPr>
      </w:pPr>
      <w:r w:rsidRPr="007B43C5">
        <w:rPr>
          <w:rFonts w:ascii="Arial" w:hAnsi="Arial" w:cs="Arial"/>
        </w:rPr>
        <w:t xml:space="preserve">budowę węzła oczyszczania (ISBL) i węzła dystrybucji wodoru (OSBL) oraz: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rurociągu przesyłowego wodoru z ISBL do OSBL;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rurociągu surowego wodoru z Obszaru Produkcji Tworzyw Sztucznych do ISBL; </w:t>
      </w:r>
    </w:p>
    <w:p w:rsidR="007B43C5" w:rsidRPr="007B43C5" w:rsidRDefault="007B43C5" w:rsidP="007B43C5">
      <w:pPr>
        <w:ind w:left="1500"/>
        <w:rPr>
          <w:rFonts w:ascii="Arial" w:hAnsi="Arial" w:cs="Arial"/>
        </w:rPr>
      </w:pPr>
      <w:r w:rsidRPr="007B43C5">
        <w:rPr>
          <w:rFonts w:ascii="Arial" w:hAnsi="Arial" w:cs="Arial"/>
        </w:rPr>
        <w:t xml:space="preserve">-  </w:t>
      </w:r>
      <w:r w:rsidRPr="007B43C5">
        <w:rPr>
          <w:rFonts w:ascii="Arial" w:hAnsi="Arial" w:cs="Arial"/>
        </w:rPr>
        <w:softHyphen/>
        <w:t xml:space="preserve"> rurociągu oczyszczonego wodoru z ISBL do instalacji amoniaku w Obszarze Produkcji Nawozów Sztucznych;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rurociągu oczyszczonego wodoru z ISBL do rurociągu gazu resztkowego;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lastRenderedPageBreak/>
        <w:t xml:space="preserve">- podłączenie mediów niezbędnych do funkcjonowania węzłów: rurociąg azotu do inertyzacji OSBL i ISBL; rurociąg zasilający i powrotny wody obiegowej do ISBL; rurociąg powietrza do ISBL i OSBL; rurociąg powietrza do ISBL i OSBL; rurociąg wody p.poż do ISBL i OSBL; </w:t>
      </w:r>
      <w:r w:rsidRPr="007B43C5">
        <w:rPr>
          <w:rFonts w:ascii="Arial" w:hAnsi="Arial" w:cs="Arial"/>
        </w:rPr>
        <w:softHyphen/>
        <w:t xml:space="preserve"> </w:t>
      </w:r>
    </w:p>
    <w:p w:rsidR="007B43C5" w:rsidRPr="007B43C5" w:rsidRDefault="007B43C5" w:rsidP="007B43C5">
      <w:pPr>
        <w:numPr>
          <w:ilvl w:val="0"/>
          <w:numId w:val="4"/>
        </w:numPr>
        <w:rPr>
          <w:rFonts w:ascii="Arial" w:hAnsi="Arial" w:cs="Arial"/>
        </w:rPr>
      </w:pPr>
      <w:r w:rsidRPr="007B43C5">
        <w:rPr>
          <w:rFonts w:ascii="Arial" w:hAnsi="Arial" w:cs="Arial"/>
        </w:rPr>
        <w:t xml:space="preserve">eksploatację węzłów oczyszczania (ISBL) i dystrybucji (OSBL).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Centrum dystrybucji wodoru korzystać ma z mediów i infrastruktury w Anwil S.A. (m.in. zaopatrzenie w wodę, energię elektryczną, odprowadzenie i oczyszczenie ścieków).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Planowana działalność polega na oczyszczaniu i dystrybucji oczyszczonego wodoru i nie obejmuje wytwarzania nowych substancji chemicznych.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Oczyszczanie wodoru metodą PSA lub PSA wraz z deoxo nie jest działalnością określoną jako wytwarzanie nieorganicznych związków chemicznych. Wodór, który będzie oczyszczany w węźle oczyszczania powstaje podczas elektrolizy membranowej w istniejącej instalacji Anwil S.A w Obszarze Produkcji Tworzyw Sztucznych – nie objętej niniejszym wnioskiem. Jest to gaz powstający w wyniku elektrolizy roztworu chlorku sodu (NaCl), która służy głównie do produkcji chloru na potrzeby produkcji polichlorku winylu. W wyniku elektrolizy powstaje wodór w ilości 600 kg/h, który dotychczas jest w całości zagospodarowywany na terenie zakładu w Instalacji produkcji amoniaku w Obszarze Produkcji Nawozów. Węzeł oczyszczania wodoru (ISBL), na terenie Anwil S.A., służyć ma zagospodarowaniu wodoru powstającego w wyniku elektrolizy.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Docelowo do węzła oczyszczania wodoru kierowana będzie całość wodoru (ok. 600 kg/h H</w:t>
      </w:r>
      <w:r w:rsidRPr="007B43C5">
        <w:rPr>
          <w:rFonts w:ascii="Arial" w:hAnsi="Arial" w:cs="Arial"/>
          <w:vertAlign w:val="subscript"/>
        </w:rPr>
        <w:t>2</w:t>
      </w:r>
      <w:r w:rsidRPr="007B43C5">
        <w:rPr>
          <w:rFonts w:ascii="Arial" w:hAnsi="Arial" w:cs="Arial"/>
        </w:rPr>
        <w:t>) powstającego w wyniku elektrolizy roztworu chlorku sodu. W pierwszych latach działania Centrum dystrybucji wodoru, do węzła oczyszczania zakłada się kierowanie części wytwarzanego wodoru (ok. 200 kg/h H</w:t>
      </w:r>
      <w:r w:rsidRPr="007B43C5">
        <w:rPr>
          <w:rFonts w:ascii="Arial" w:hAnsi="Arial" w:cs="Arial"/>
          <w:vertAlign w:val="subscript"/>
        </w:rPr>
        <w:t>2</w:t>
      </w:r>
      <w:r w:rsidRPr="007B43C5">
        <w:rPr>
          <w:rFonts w:ascii="Arial" w:hAnsi="Arial" w:cs="Arial"/>
        </w:rPr>
        <w:t>); pozostały strumień (400 kg/h H</w:t>
      </w:r>
      <w:r w:rsidRPr="007B43C5">
        <w:rPr>
          <w:rFonts w:ascii="Arial" w:hAnsi="Arial" w:cs="Arial"/>
          <w:vertAlign w:val="subscript"/>
        </w:rPr>
        <w:t>2</w:t>
      </w:r>
      <w:r w:rsidRPr="007B43C5">
        <w:rPr>
          <w:rFonts w:ascii="Arial" w:hAnsi="Arial" w:cs="Arial"/>
        </w:rPr>
        <w:t>) kierowany, jak dotychczas do Instalacji produkcji amoniaku (400 kg/h H</w:t>
      </w:r>
      <w:r w:rsidRPr="007B43C5">
        <w:rPr>
          <w:rFonts w:ascii="Arial" w:hAnsi="Arial" w:cs="Arial"/>
          <w:vertAlign w:val="subscript"/>
        </w:rPr>
        <w:t>2</w:t>
      </w:r>
      <w:r w:rsidRPr="007B43C5">
        <w:rPr>
          <w:rFonts w:ascii="Arial" w:hAnsi="Arial" w:cs="Arial"/>
        </w:rPr>
        <w:t>). Wynika to z przewidywanego zapotrzebowania na wodór jako paliwo w pierwszych latach eksploatacji Centrum dystrybucji wodoru. Jednak biorąc pod uwagę przewidywany wzrost zapotrzebowania w kolejnych latach, zdolność przerobowa węzła oczyszczania wodoru została zaprojektowana na docelową wydajność 600 kg/h H</w:t>
      </w:r>
      <w:r w:rsidRPr="007B43C5">
        <w:rPr>
          <w:rFonts w:ascii="Arial" w:hAnsi="Arial" w:cs="Arial"/>
          <w:vertAlign w:val="subscript"/>
        </w:rPr>
        <w:t>2</w:t>
      </w:r>
      <w:r w:rsidRPr="007B43C5">
        <w:rPr>
          <w:rFonts w:ascii="Arial" w:hAnsi="Arial" w:cs="Arial"/>
        </w:rPr>
        <w:t xml:space="preserve">.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Węzeł oczyszczania wodoru może działać autonomicznie zasilany każdym źródłem wodoru, nie jest technologicznie powiązany z instalacją elektrolizy roztworu chlorku sodu w Obszarze Produkcji Tworzyw Sztucznych, nie warunkuje też pracy tej instalacji, ponieważ nie powoduje konieczności zwiększenia wytwarzania wodoru.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Oczyszczanie wodoru metodą PSA opiera się na adsorpcji fizycznej i nie zachodzą reakcje chemiczne. Wodór otrzymany w wyniku elektrolizy musi zostać oczyszczony z nadmiaru azotu i wody, aby spełnić wymagania stawiane wodorowi wykorzystywanemu jako paliwo dla ogniw wodorowych. W metodzie deoxo tlen resztkowy reaguje z wodorem tworząc wodę, ale wynik reakcji nie jest produktem instalacji. Śladowa ilość wody powstająca w instalacji oczyszczania wodoru (PSA) nie jest zanieczyszczona i można ją odprowadzić do zakładowej kanalizacji deszczowej.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Wodór oczyszczony w węźle oczyszczania planuje się rozprowadzać do odbiorców w węźle dystrybucji poprzez napełnianie rurowozów do przewożenia wodoru. Na terenie OSBL będą znajdować się rurowozy opróżnione, napełniane i napełnione – gotowe do odbioru (max. 6 szt.).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Wydajność węzła oczyszczania wodoru wyniesie docelowo 600 kg oczyszczonego wodoru na godzinę, co przy trybie pracy 8000 h/rok daje roczną produkcję 4800000 kg H</w:t>
      </w:r>
      <w:r w:rsidRPr="007B43C5">
        <w:rPr>
          <w:rFonts w:ascii="Arial" w:hAnsi="Arial" w:cs="Arial"/>
          <w:vertAlign w:val="subscript"/>
        </w:rPr>
        <w:t>2</w:t>
      </w:r>
      <w:r w:rsidRPr="007B43C5">
        <w:rPr>
          <w:rFonts w:ascii="Arial" w:hAnsi="Arial" w:cs="Arial"/>
        </w:rPr>
        <w:t xml:space="preserve">.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Teren przeznaczony na budowę Centrum dystrybucji wodoru wynosi ok. 2,2 ha: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- 1,107 ha - węzeł dystrybucji wodoru OSBL,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- 0,1722 ha - węzeł oczyszczania wodoru ISBL,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- 0,92 ha – inne rurociągi przesyłowe i przewody energetyczne, w tym rurociąg przesyłu wodoru 0,035 ha.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Działania produkcyjne planowane są przez 24 godziny na dobę przez 7 dni w tygodniu, przy czym produkcja prowadzona przez około 333 dni w roku (tj. 8000 h).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Praca w węźle oczyszczania wodoru planowana jest w systemie trzy lub czterozmianowym lub innym </w:t>
      </w:r>
      <w:r w:rsidRPr="007B43C5">
        <w:rPr>
          <w:rFonts w:ascii="Arial" w:hAnsi="Arial" w:cs="Arial"/>
        </w:rPr>
        <w:br/>
        <w:t xml:space="preserve">w zależności od bieżących potrzeb. System trzyzmianowy opiera się na trzech zmianach po 8 godzin.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Odbiór rurowozów z węzła dystrybucji początkowo odbywać się ma jedynie w okresie dziennym (godz. 6:00 do 22:00), a w przyszłości 24 h/dobę.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Zamierzenie inwestycyjne zlokalizowane jest na terenie gminy Miasto Włocławek, w województwie kujawsko - pomorskim. Część obejmująca węzeł oczyszczania wodoru (ISBL) zostanie usytuowane na na działce nr 97 obręb Azoty, powiat Miasto Włocławek. Część obejmująca węzeł dystrybucji wodoru (OSBL) znajdować się będzie na działce 80/3 oraz na części działki nr 80/4 obręb Azoty. Komunikacja węzła dystrybucji wodoru realizowana będzie częściowo na działce 80/3 i 80/4 obręb Azoty. Przyłącza mediów do części ISBL i OSBL będą przebiegać przez działki 35, 79/3, 92/2, 91/2, 93, 96, 97, 98, 80/3, 80/4 w obrębie Azoty.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Bezpośrednie sąsiedztwo stanowią:</w:t>
      </w:r>
    </w:p>
    <w:p w:rsidR="007B43C5" w:rsidRPr="007B43C5" w:rsidRDefault="007B43C5" w:rsidP="007B43C5">
      <w:pPr>
        <w:rPr>
          <w:rFonts w:ascii="Arial" w:hAnsi="Arial" w:cs="Arial"/>
        </w:rPr>
      </w:pPr>
      <w:r w:rsidRPr="007B43C5">
        <w:rPr>
          <w:rFonts w:ascii="Arial" w:hAnsi="Arial" w:cs="Arial"/>
        </w:rPr>
        <w:t xml:space="preserve">-od strony zachodniej i południowo – zachodniej: droga krajowa nr 91 relacji Gdańsk – Częstochowa, w odległości ok. 50 m od terenu zadania i dalej, za kompleksem leśnym, w odległości ok 5-5,5 km – Autostrada A-1,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od strony północnej i północno-wschodniej– tereny Anwil S.A. rozciągające się na obszarze pomiędzy drogą krajową nr 91 a ulicą Krzywa Góra, za tą ulicą znajdują się tereny zielone i nieużytki a także zbiorniki i Wisła, ok. 2,5 km od terenu inwestycji. </w:t>
      </w:r>
      <w:r w:rsidRPr="007B43C5">
        <w:rPr>
          <w:rFonts w:ascii="Arial" w:hAnsi="Arial" w:cs="Arial"/>
        </w:rPr>
        <w:softHyphen/>
      </w:r>
    </w:p>
    <w:p w:rsidR="007B43C5" w:rsidRPr="007B43C5" w:rsidRDefault="007B43C5" w:rsidP="007B43C5">
      <w:pPr>
        <w:rPr>
          <w:rFonts w:ascii="Arial" w:hAnsi="Arial" w:cs="Arial"/>
        </w:rPr>
      </w:pPr>
      <w:r w:rsidRPr="007B43C5">
        <w:rPr>
          <w:rFonts w:ascii="Arial" w:hAnsi="Arial" w:cs="Arial"/>
        </w:rPr>
        <w:t xml:space="preserve">- od strony wschodniej i północno wschodniej - tereny Anwil S.A. rozciągające się za granicami tego terenu kompleks leśny o szerokości ok. 5 km,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od strony południowej – tereny stacji paliw Orlen (bezpośrednio przylegające do terenu zamierzenia), dalej droga krajowa nr 91 i za drogą tereny nieużytków – przeznaczone w przyszłości na tereny przemysłowe, tereny innych przedsiębiorstw i dalej linia kolejowa nr 18 Kutno – Piła Główna, ok. 350 m od terenu zamierzenia.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lastRenderedPageBreak/>
        <w:t xml:space="preserve">Planowane zadanie znajduje się na terenie objętym obowiązującym miejscowym planem zagospodarowania przestrzennego miasta Włocławek dla obszaru położonego pomiędzy granicą lasu, ulicą Toruńską, granicą miasta, ulicą Inowrocławską, terenami kolejowymi oraz w rejonie ulicy Krzywa Góra, przyjętym uchwałą Rady Miasta Włocławek nr XXXIX/1/2014 z dnia 27 stycznia 2014 r. (Dz. Urz. Woj. Kuj.-Pom. z dnia 3 lutego 2014 r., poz. 320). Zgodnie z ww. miejscowym planem teren przedsięwzięcia znajduje się na obszarze oznaczonym symbolem 1 P/ZZ. Zgodnie z art. 80 ust. 2 uouioś, organ właściwy do wydania decyzji o środowiskowych uwarunkowaniach stwierdza zgodność lokalizacji zadania z ustaleniami miejscowego planu zagospodarowania przestrzennego. W związku z powyższym należy przyjąć, że Prezydent Miasta Włocławek występując do organów opiniujących dokonał weryfikacji ustaleń aktu prawa miejscowego.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ANWIL S.A. jako cały obiekt został zaliczony do grupy zakładów dużego ryzyka pojawienia się awarii przemysłowej. Obowiązki pracowników na wszystkich poziomach organizacji odpowiedzialnych za działania na wypadek awarii przemysłowej są określone i realizowane poprzez szereg środków organizacyjnych, w postaci odpowiednich zarządzeń i procedur obowiązujących w zakładzie. Ponadto, został stworzony System Zarządzania Bezpieczeństwem Procesowym, gwarantujący ochronę ludzi i środowiska.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Zgodnie z Kip na terenie węzła dystrybucji wodoru (OSBL) będzie zgromadzone maksymalnie 3000 kg (3 Mg) wodoru – 6 trailerów/rurowozów jako mobilne magazynowanie po 500 kg każdy. W związku z powyższym, węzeł dystrybucji wodoru (OSBL) nie jest zaliczany do zakładów o dużym lub zwiększonym ryzyku wystąpienia poważnej awarii przemysłowej w myśl zapisów rozporządzenia Ministra Rozwoju z dnia 29 stycznia 2016 r.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W rejonie projektowanego zadania nie występują obszary: siedliska łęgowe oraz ujścia rzek; wybrzeży i środowisko morskie; górskie lub leśne; objęte ochroną, w tym strefy ujęć wód i obszary ochronne zbiorników wód śródlądowych; wymagające specjalnej ochrony ze względu na występowanie gatunków roślin, grzybów i zwierząt lub ich siedlisk lub siedlisk przyrodniczych objętych ochroną, w tym obszary Natura 2000 oraz pozostałe formy ochrony przyrody, o krajobrazie mającym znaczenie historyczne, kulturowe lub archeologiczne; przylegające do jezior; jak również uzdrowiska i obszary ochrony uzdrowiskowej.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Etap realizacji zamierzenia związany jest z koniecznością wykonania wykopów pod planowaną infrastrukturę. W przedłożonej dokumentacji wskazano, że poziom zwierciadła wód w pierwszej warstwie wodonośnej na terenie przedsięwzięcia nawiercono na głębokości 4,3 m. Biorąc pod uwagę, że planowana głębokość wykopów związana z budową obiektów zarówno węzła oczyszczania, jak i dystrybucji wodoru wyniesie ok. 2 m, nie przewiduje się konieczności odwadniania wykopów.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W celu ograniczenia negatywnego oddziaływania zamierzenia na środowisko gruntowo-wodne w trakcie realizacji inwestycji, wszelkie prace realizacyjne będą prowadzone w oparciu o sprzęt sprawny technicznie, dopuszczony do eksploatacji i posiadający aktualne przeglądy techniczne.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lastRenderedPageBreak/>
        <w:t xml:space="preserve">Ścieki bytowe z obiektów administracyjno-socjalnych (na terenie węzła dystrybucji OSBL) odprowadzane będą systemem zbiorczym kanalizacji sanitarnej do Węzła Biologicznego Oczyszczalnia Ścieków w Oczyszczalni Ścieków Przemysłowych Anwil S.A. Na terenie ISBL nie przewiduje się budowy zaplecza socjalnego.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Na obszarze węzła dystrybucji nie będą powstawać ścieki przemysłowe. W węźle oczyszczania wodoru, przy zastosowaniu technologii deoxo będą powstawać śladowe ilości skroplin, które zostaną odprowadzone do sieci kanalizacji deszczowej.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Wody z terenów utwardzonych i dachów na obszarze planowanego przedsięwzięcia będą zbierane odpowiednim systemem kanalizacji i przesyłane do Oczyszczalni Ścieków Przemysłowych Anwil S.A. Wody opadowe z dachu kontenera OSBL będą odprowadzone do gruntu.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Inwestycja znajduje się na poza granicami Głównych Zbiorników Wód Podziemnych.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Teren węzła dystrybucji wodoru będzie znajdował się w bezpośrednim sąsiedztwie ujęć, tuż za ogrodzeniem wyznaczającym teren ochrony bezpośredniej ujęć wody. Przedmiotowa inwestycja zlokalizowana jest w obszarze dorzecza Wisły, zgodnie z rozporządzeniem Rady Ministrów z dnia 18 października 2016 r. w sprawie Planu gospodarowania wodami na obszarze dorzecza Wisły (Dz. U. z 2016 r., poz. 1911).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Zamierzenie znajduje się w obszarze jednolitej części wód podziemnych oznaczonym europejskim kodem PLGW200045, zaliczonym do regionu wodnego Dolnej Wisły. Zgodnie z ww. rozporządzeniem, stan ilościowy i chemiczny tej JCWPd oceniono jako dobry. Rozpatrywana jednolita część wód podziemnych nie jest zagrożona ryzykiem nieosiągnięcia celów środowiskowych, tj. utrzymania co najmniej dobrego stanu ilościowego i chemicznego wód podziemnych.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Przedsięwzięcie znajduje się w obszarze jednolitej części wód powierzchniowych oznaczonym europejskim kodem PLRW20001727929 - Ośla, zaliczonym do regionu wodnego Dolnej Wisły. Zgodnie z ww. rozporządzeniem, ta JCWP posiada status naturalnej części wód, której stan oceniono jako zły. Rozpatrywana jednolita część wód powierzchniowych jest zagrożona ryzykiem nieosiągnięcia celów środowiskowych, tj. osiągnięcia co najmniej dobrego stanu ekologicznego i co najmniej dobrego stanu chemicznego wód powierzchniowych.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Funkcjonowanie Centrum dystrybucji wodoru nie będzie powodowało zagrożenia dla gleb i wód podziemnych z uwagi na brak substancji mogących zanieczyścić te elementy środowiska oraz odpowiednie zabezpieczenia na terenie węzła dystrybucji wodoru przed ewentualnym przedostaniem się płynów eksploatacyjnych pochodzących z pojazdów odbierających i dostarczających rurowozy (szczelna nawierzchnia placów postojowych i manewrowych, kanalizacja deszczowa odprowadzająca wody opadowe i roztopowe do systemu oczyszczania wód Anwil S.A.). Centrum dystrybucji nie będzie miało podziemnych zbiorników na płynne substancje mogące zanieczyścić wody gruntowe. Na terenie węzła dystrybucji nie będą powstawać ścieki przemysłowe. Z uwagi na rodzaj, zakres i lokalizację przedsięwzięcia stwierdza się, że przy zastosowaniu rozwiązań opisanych w Kip, jego realizacja i eksploatacja nie wpłynie negatywnie na ryzyko nieosiągnięcia celów </w:t>
      </w:r>
      <w:r w:rsidRPr="007B43C5">
        <w:rPr>
          <w:rFonts w:ascii="Arial" w:hAnsi="Arial" w:cs="Arial"/>
        </w:rPr>
        <w:lastRenderedPageBreak/>
        <w:t xml:space="preserve">środowiskowych zawartych w Planie gospodarowania wodami na obszarze dorzecza Wisły.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W trakcie prowadzenia prac realizacyjnych przewiduje się wzrost emisji hałasu oraz zanieczyszczeń do powietrza atmosferycznego, związanych z pracą sprzętu budowlanego i transportem materiałów. Powyższe oddziaływania mają jednak charakter punktowy i krótkotrwały.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Obszar planowanej inwestycji znajduje się na terenie przemysłowym Anwil S.A. i nie graniczy bezpośrednio z terenami objętymi ochroną akustyczną.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Najbliższe tereny podlegające ochronie akustycznej znajdują się w odległości około 570 – 730 m </w:t>
      </w:r>
      <w:r w:rsidRPr="007B43C5">
        <w:rPr>
          <w:rFonts w:ascii="Arial" w:hAnsi="Arial" w:cs="Arial"/>
        </w:rPr>
        <w:br/>
        <w:t xml:space="preserve">od południowo wschodniej granicy obszaru przemysłowego Anwil S.A: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Tereny zabudowy mieszkaniowej wielorodzinnej i zamieszkania zbiorowego (Os. Zakręt, ul. Junacka, blok wielorodzinny). </w:t>
      </w:r>
    </w:p>
    <w:p w:rsidR="007B43C5" w:rsidRPr="007B43C5" w:rsidRDefault="007B43C5" w:rsidP="007B43C5">
      <w:pPr>
        <w:rPr>
          <w:rFonts w:ascii="Arial" w:hAnsi="Arial" w:cs="Arial"/>
        </w:rPr>
      </w:pPr>
      <w:r w:rsidRPr="007B43C5">
        <w:rPr>
          <w:rFonts w:ascii="Arial" w:hAnsi="Arial" w:cs="Arial"/>
        </w:rPr>
        <w:t xml:space="preserve">- Tereny zabudowy zagrodowej (ul. Zakole, budynek mieszkalny i budynki gospodarcze).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W obydwóch ww. lokalizacjach prowadzony jest monitoring hałasu zgodnie z obowiązującymi pozwoleniami zintegrowanymi ANWIL S.A.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Dominującymi źródłami hałasu, kształtującymi lokalny klimat akustyczny w otoczeniu planowanej inwestycji są istniejące już instalacje na terenie zakładu Anwil S.A., a także źródła hałasu komunikacyjnego w postaci drogi krajowej nr 91. </w:t>
      </w:r>
    </w:p>
    <w:p w:rsidR="007B43C5" w:rsidRPr="007B43C5" w:rsidRDefault="007B43C5" w:rsidP="007B43C5">
      <w:pPr>
        <w:rPr>
          <w:rFonts w:ascii="Arial" w:hAnsi="Arial" w:cs="Arial"/>
        </w:rPr>
      </w:pPr>
      <w:r w:rsidRPr="007B43C5">
        <w:rPr>
          <w:rFonts w:ascii="Arial" w:hAnsi="Arial" w:cs="Arial"/>
        </w:rPr>
        <w:t xml:space="preserve">Do nowych punktowych źródeł hałasu jakie powstaną w związku z inwestycją należą: </w:t>
      </w:r>
    </w:p>
    <w:p w:rsidR="007B43C5" w:rsidRPr="007B43C5" w:rsidRDefault="007B43C5" w:rsidP="007B43C5">
      <w:pPr>
        <w:numPr>
          <w:ilvl w:val="0"/>
          <w:numId w:val="5"/>
        </w:numPr>
        <w:rPr>
          <w:rFonts w:ascii="Arial" w:hAnsi="Arial" w:cs="Arial"/>
        </w:rPr>
      </w:pPr>
      <w:r w:rsidRPr="007B43C5">
        <w:rPr>
          <w:rFonts w:ascii="Arial" w:hAnsi="Arial" w:cs="Arial"/>
        </w:rPr>
        <w:t xml:space="preserve">ISBL - Budynek Trafo: </w:t>
      </w:r>
      <w:r w:rsidRPr="007B43C5">
        <w:rPr>
          <w:rFonts w:ascii="Arial" w:hAnsi="Arial" w:cs="Arial"/>
        </w:rPr>
        <w:softHyphen/>
      </w:r>
    </w:p>
    <w:p w:rsidR="007B43C5" w:rsidRPr="007B43C5" w:rsidRDefault="007B43C5" w:rsidP="007B43C5">
      <w:pPr>
        <w:ind w:left="1500"/>
        <w:rPr>
          <w:rFonts w:ascii="Arial" w:hAnsi="Arial" w:cs="Arial"/>
        </w:rPr>
      </w:pPr>
      <w:r w:rsidRPr="007B43C5">
        <w:rPr>
          <w:rFonts w:ascii="Arial" w:hAnsi="Arial" w:cs="Arial"/>
        </w:rPr>
        <w:t xml:space="preserve">- centrala wentylacyjna o maksymalnym poziomie mocy akustycznej 70dB(A) szt. 1,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wentylator dachowy o maksymalnym poziomie mocy akustycznej 70dB(A) - szt. 1,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agregat skraplający o maksymalnym poziomie mocy akustycznej 80dB(A) – szt. 6,</w:t>
      </w:r>
    </w:p>
    <w:p w:rsidR="007B43C5" w:rsidRPr="007B43C5" w:rsidRDefault="007B43C5" w:rsidP="007B43C5">
      <w:pPr>
        <w:ind w:left="1500"/>
        <w:rPr>
          <w:rFonts w:ascii="Arial" w:hAnsi="Arial" w:cs="Arial"/>
        </w:rPr>
      </w:pPr>
      <w:r w:rsidRPr="007B43C5">
        <w:rPr>
          <w:rFonts w:ascii="Arial" w:hAnsi="Arial" w:cs="Arial"/>
        </w:rPr>
        <w:t xml:space="preserve"> - wyrzutnie/czerpnie powietrza (hałas na fasadzie) o maksymalnym poziomie mocy akustycznej 80dB(A) - szt. 4; </w:t>
      </w:r>
    </w:p>
    <w:p w:rsidR="007B43C5" w:rsidRPr="007B43C5" w:rsidRDefault="007B43C5" w:rsidP="007B43C5">
      <w:pPr>
        <w:numPr>
          <w:ilvl w:val="0"/>
          <w:numId w:val="5"/>
        </w:numPr>
        <w:rPr>
          <w:rFonts w:ascii="Arial" w:hAnsi="Arial" w:cs="Arial"/>
          <w:lang w:val="en-US"/>
        </w:rPr>
      </w:pPr>
      <w:r w:rsidRPr="007B43C5">
        <w:rPr>
          <w:rFonts w:ascii="Arial" w:hAnsi="Arial" w:cs="Arial"/>
          <w:lang w:val="en-US"/>
        </w:rPr>
        <w:t xml:space="preserve">ISBL - Kontener analizatora „on-line”: </w:t>
      </w:r>
      <w:r w:rsidRPr="007B43C5">
        <w:rPr>
          <w:rFonts w:ascii="Arial" w:hAnsi="Arial" w:cs="Arial"/>
          <w:lang w:val="en-US"/>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wentylator o maksymalnym poziomie mocy akustycznej 55dB(A) - szt. 2,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klimatyzator o maksymalnym poziomie mocy akustycznej 75dB(A) - szt. 2;</w:t>
      </w:r>
    </w:p>
    <w:p w:rsidR="007B43C5" w:rsidRPr="007B43C5" w:rsidRDefault="007B43C5" w:rsidP="007B43C5">
      <w:pPr>
        <w:numPr>
          <w:ilvl w:val="0"/>
          <w:numId w:val="5"/>
        </w:numPr>
        <w:rPr>
          <w:rFonts w:ascii="Arial" w:hAnsi="Arial" w:cs="Arial"/>
        </w:rPr>
      </w:pPr>
      <w:r w:rsidRPr="007B43C5">
        <w:rPr>
          <w:rFonts w:ascii="Arial" w:hAnsi="Arial" w:cs="Arial"/>
        </w:rPr>
        <w:t xml:space="preserve">ISBL - Plac: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kompresory membranowe nr 1 i nr 2 na terenie placu ISBL o maksymalnym poziomie mocy akustycznej 93,0dB(A) - szt. 2,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kompresor tail gazu, na terenie placu ISBL o maksymalnym poziom mocy akustycznej 93,0dB(A) – szt. 1,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wyrzut technologiczny o maksymalnym poziom mocy akustycznej 85,0dB(A) - szt. 1,</w:t>
      </w:r>
    </w:p>
    <w:p w:rsidR="007B43C5" w:rsidRPr="007B43C5" w:rsidRDefault="007B43C5" w:rsidP="007B43C5">
      <w:pPr>
        <w:ind w:left="1500"/>
        <w:rPr>
          <w:rFonts w:ascii="Arial" w:hAnsi="Arial" w:cs="Arial"/>
        </w:rPr>
      </w:pPr>
      <w:r w:rsidRPr="007B43C5">
        <w:rPr>
          <w:rFonts w:ascii="Arial" w:hAnsi="Arial" w:cs="Arial"/>
        </w:rPr>
        <w:t xml:space="preserve"> </w:t>
      </w:r>
      <w:r w:rsidRPr="007B43C5">
        <w:rPr>
          <w:rFonts w:ascii="Arial" w:hAnsi="Arial" w:cs="Arial"/>
        </w:rPr>
        <w:softHyphen/>
        <w:t xml:space="preserve">- skid zaworowy instalacji odtleniania (De-oxo) o maksymalnym poziom mocy akustycznej 85,0dB(A) - szt.1,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lastRenderedPageBreak/>
        <w:t xml:space="preserve">- skid zaworowy instalacji oczyszczania wodoru (PSA) o maksymalnym poziom mocy akustycznej 85,0dB(A) - szt.1; </w:t>
      </w:r>
    </w:p>
    <w:p w:rsidR="007B43C5" w:rsidRPr="007B43C5" w:rsidRDefault="007B43C5" w:rsidP="007B43C5">
      <w:pPr>
        <w:numPr>
          <w:ilvl w:val="0"/>
          <w:numId w:val="5"/>
        </w:numPr>
        <w:rPr>
          <w:rFonts w:ascii="Arial" w:hAnsi="Arial" w:cs="Arial"/>
        </w:rPr>
      </w:pPr>
      <w:r w:rsidRPr="007B43C5">
        <w:rPr>
          <w:rFonts w:ascii="Arial" w:hAnsi="Arial" w:cs="Arial"/>
        </w:rPr>
        <w:t xml:space="preserve">OSBL - Budynek Administracyjny (budynek dyspozytorni):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centrala wentylacyjna o maksymalnym poziomie mocy akustycznej 70dB(A) - szt. 2,</w:t>
      </w:r>
    </w:p>
    <w:p w:rsidR="007B43C5" w:rsidRPr="007B43C5" w:rsidRDefault="007B43C5" w:rsidP="007B43C5">
      <w:pPr>
        <w:ind w:left="1500"/>
        <w:rPr>
          <w:rFonts w:ascii="Arial" w:hAnsi="Arial" w:cs="Arial"/>
        </w:rPr>
      </w:pPr>
      <w:r w:rsidRPr="007B43C5">
        <w:rPr>
          <w:rFonts w:ascii="Arial" w:hAnsi="Arial" w:cs="Arial"/>
        </w:rPr>
        <w:t xml:space="preserve"> - wentylator dachowy o maksymalnym poziomie mocy akustycznej 70dB(A) - szt. 3,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agregat skraplający o maksymalnym poziomie mocy akustycznej 80dB(A) - szt. 7, </w:t>
      </w:r>
    </w:p>
    <w:p w:rsidR="007B43C5" w:rsidRPr="007B43C5" w:rsidRDefault="007B43C5" w:rsidP="007B43C5">
      <w:pPr>
        <w:numPr>
          <w:ilvl w:val="0"/>
          <w:numId w:val="5"/>
        </w:numPr>
        <w:rPr>
          <w:rFonts w:ascii="Arial" w:hAnsi="Arial" w:cs="Arial"/>
        </w:rPr>
      </w:pPr>
      <w:r w:rsidRPr="007B43C5">
        <w:rPr>
          <w:rFonts w:ascii="Arial" w:hAnsi="Arial" w:cs="Arial"/>
        </w:rPr>
        <w:t xml:space="preserve">OSBL - Budynek portierni: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agregat skraplający o maksymalnym poziomie mocy akustycznej 80dB(A) - szt. 1,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wentylator dachowy o maksymalnym poziomie mocy akustycznej 65dB(A) - szt. 1; </w:t>
      </w:r>
    </w:p>
    <w:p w:rsidR="007B43C5" w:rsidRPr="007B43C5" w:rsidRDefault="007B43C5" w:rsidP="007B43C5">
      <w:pPr>
        <w:numPr>
          <w:ilvl w:val="0"/>
          <w:numId w:val="5"/>
        </w:numPr>
        <w:rPr>
          <w:rFonts w:ascii="Arial" w:hAnsi="Arial" w:cs="Arial"/>
        </w:rPr>
      </w:pPr>
      <w:r w:rsidRPr="007B43C5">
        <w:rPr>
          <w:rFonts w:ascii="Arial" w:hAnsi="Arial" w:cs="Arial"/>
        </w:rPr>
        <w:t xml:space="preserve">OSBL - Plac manewrowy: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instalacje stanowisk nalewczych nr 1 i nr 2, na terenie placu manewrowego o maksymalnym poziomie mocy akustycznej 64,0 dB(A) - szt. 2, </w:t>
      </w:r>
      <w:r w:rsidRPr="007B43C5">
        <w:rPr>
          <w:rFonts w:ascii="Arial" w:hAnsi="Arial" w:cs="Arial"/>
        </w:rPr>
        <w:softHyphen/>
        <w:t xml:space="preserve"> </w:t>
      </w:r>
    </w:p>
    <w:p w:rsidR="007B43C5" w:rsidRPr="007B43C5" w:rsidRDefault="007B43C5" w:rsidP="007B43C5">
      <w:pPr>
        <w:ind w:left="1500"/>
        <w:rPr>
          <w:rFonts w:ascii="Arial" w:hAnsi="Arial" w:cs="Arial"/>
        </w:rPr>
      </w:pPr>
      <w:r w:rsidRPr="007B43C5">
        <w:rPr>
          <w:rFonts w:ascii="Arial" w:hAnsi="Arial" w:cs="Arial"/>
        </w:rPr>
        <w:t xml:space="preserve">- wyrzut technologiczny o maksymalnym poziomie mocy akustycznej 85,0dB(A) - szt. 1.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Ponadto, funkcjonować mają również źródła liniowe, tj. ruch pojazdów. Inwestor szacuje, iż w większości dni roboczych, eksploatacja instalacji w porze nocy przez pojazdy ciężkie będzie się charakteryzowała mniejszym natężeniem ruchu.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Uzyskane wyniki symulacji akustycznych istniejącej infrastruktury przemysłowej Anwil S.A. oraz planowanej infrastruktury Centrum dystrybucji wodoru we Włocławku prognozują brak występowania przekroczeń wartości dopuszczalnych hałasu w związku z eksploatacją nowych źródeł hałasu.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Na etapie eksploatacji, węzeł oczyszczania i węzeł dystrybucji wodoru nie są źródłem zorganizowanej emisji substancji do powietrza. Centrum dystrybucji wodoru zostanie doposażone w tzw. wyrzutnie technologiczne, odprowadzające do powietrza awaryjnych i eksploatacyjnych zrzutów. W składzie awaryjnych zrzutów będzie głównie wodór (99,9%), dla którego nie są ustalone dopuszczalne poziomy w powietrzu ani wartości odniesienia. </w:t>
      </w:r>
    </w:p>
    <w:p w:rsidR="00185CAB" w:rsidRDefault="00185CAB"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Emisja substancji do powietrza, na etapie eksploatacji, będzie pochodzić jedynie z ruchu pojazdów po terenie węzła dystrybucji wodoru. Przewidywany jest ruch maksymalnie 30 samochodów ciężarowych w ciągu doby.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Stwierdza się, że realizacja planowanego przedsięwzięcia, nie powinna spowodować ponadnormatywnego oddziaływania na stan jakości powietrza.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Przewiduje się, iż fazie realizacji w największej ilości powstaną typowe odpady dla gałęzi działalności usługowej- budowlanej tj. z grupy 17, związane z procesem rozbiórki obiektu kubaturowego, gazociągu oraz z procesem budowlanym. Odpady planuje się magazynować w czasie ograniczonym do niezbędnego minimum w sposób uwzględniający ich właściwości fizyczne i chemiczne. W fazie tej </w:t>
      </w:r>
      <w:r w:rsidRPr="007B43C5">
        <w:rPr>
          <w:rFonts w:ascii="Arial" w:hAnsi="Arial" w:cs="Arial"/>
        </w:rPr>
        <w:lastRenderedPageBreak/>
        <w:t xml:space="preserve">odpowiedzialność za gospodarowanie odpadami będzie leżała po stronie dostawcy usług budowlanych oraz firm montujących urządzenia.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Planowana Inwestycja składa się z dwóch części: węzła oczyszczania wodoru (ISBL) i węzła dystrybucji wodoru (OSBL), obie realizowane i kontrolowane przez dwa podmioty: Anwil S.A. i PKN Orlen S.A. Obie części będą niezależne jeśli chodzi o gospodarkę odpadami.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Źródłami odpadów na etapie funkcjonowania są: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eksploatacja PSA i deoxo,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 eksploatacja instalacji elektrycznych i energetycznych tj.: transformatorów, kompresorów, UPS i akumulatorów, </w:t>
      </w:r>
      <w:r w:rsidRPr="007B43C5">
        <w:rPr>
          <w:rFonts w:ascii="Arial" w:hAnsi="Arial" w:cs="Arial"/>
        </w:rPr>
        <w:softHyphen/>
      </w:r>
    </w:p>
    <w:p w:rsidR="007B43C5" w:rsidRPr="007B43C5" w:rsidRDefault="007B43C5" w:rsidP="007B43C5">
      <w:pPr>
        <w:rPr>
          <w:rFonts w:ascii="Arial" w:hAnsi="Arial" w:cs="Arial"/>
        </w:rPr>
      </w:pPr>
      <w:r w:rsidRPr="007B43C5">
        <w:rPr>
          <w:rFonts w:ascii="Arial" w:hAnsi="Arial" w:cs="Arial"/>
        </w:rPr>
        <w:t xml:space="preserve">-  eksploatacja instalacji i infrastruktury logistycznej, </w:t>
      </w:r>
      <w:r w:rsidRPr="007B43C5">
        <w:rPr>
          <w:rFonts w:ascii="Arial" w:hAnsi="Arial" w:cs="Arial"/>
        </w:rPr>
        <w:softHyphen/>
      </w:r>
    </w:p>
    <w:p w:rsidR="007B43C5" w:rsidRPr="007B43C5" w:rsidRDefault="007B43C5" w:rsidP="007B43C5">
      <w:pPr>
        <w:rPr>
          <w:rFonts w:ascii="Arial" w:hAnsi="Arial" w:cs="Arial"/>
        </w:rPr>
      </w:pPr>
      <w:r w:rsidRPr="007B43C5">
        <w:rPr>
          <w:rFonts w:ascii="Arial" w:hAnsi="Arial" w:cs="Arial"/>
        </w:rPr>
        <w:t xml:space="preserve">- funkcjonowanie zaplecza socjalnego, </w:t>
      </w:r>
      <w:r w:rsidRPr="007B43C5">
        <w:rPr>
          <w:rFonts w:ascii="Arial" w:hAnsi="Arial" w:cs="Arial"/>
        </w:rPr>
        <w:softHyphen/>
      </w:r>
    </w:p>
    <w:p w:rsidR="007B43C5" w:rsidRPr="007B43C5" w:rsidRDefault="007B43C5" w:rsidP="007B43C5">
      <w:pPr>
        <w:rPr>
          <w:rFonts w:ascii="Arial" w:hAnsi="Arial" w:cs="Arial"/>
        </w:rPr>
      </w:pPr>
      <w:r w:rsidRPr="007B43C5">
        <w:rPr>
          <w:rFonts w:ascii="Arial" w:hAnsi="Arial" w:cs="Arial"/>
        </w:rPr>
        <w:t xml:space="preserve">- utrzymanie terenu,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okresowe remonty i modernizacje.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Zgodnie z przedstawionymi materiałami koncepcyjnymi dotyczącymi technologii prognozuje się, że głównymi odpadami powstającymi w wyniku procesu technologicznego to adsorbery z PSA oraz katalizatory z deoxo, jak również oleje smarowe i obiegowe z węzła sprężania wodoru.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Założenia technologiczne przedstawione przez Inwestora pokazują, że bez względu na wybór ostatecznej technologii odpady te mogą powstawać w odstępie co 2- 3 lata, a częstotliwość wymiany będzie zależne od dotrzymania reżimów technologicznych.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W ramach inwestycji zostaną wskazane i zaprojektowane, miejsca wstępnego magazynowania odpadów wytwarzanych w fazie eksploatacji. Miejsca magazynowania oraz odpady zostaną opisane, przeznaczone na odpady niebezpieczne zostaną zabezpieczone przed dostępem osób postronnych. Miejsca będą wyznaczone tak by odpady były odizolowane od środowiska gruntowo-wodnego oraz niekorzystnych warunków atmosferycznych. Sposób magazynowania uwzględnia właściwości fizyczne i chemiczne odpadów (odpady niebezpieczne magazynowane w zamykanych pojemnikach, te w postaci płynnej dodatkowo na tacach ociekowych).</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Ponadto, gospodarka polega będzie na nadzorze nad prawidłowością przebiegu i realizacji działań takich jak transport, odzysk i unieszkodliwianie, które to działania prowadzone są przez wyspecjalizowane firmy zewnętrzne, posiadające stosowne i obowiązujące decyzje odpowiednio na transport, zbieranie oraz przetwarzanie odpadów.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Planowane przedsięwzięcie zostanie zlokalizowane poza obszarami chronionymi w myśl ustawy z dnia 16 kwietnia 2004 r. o ochronie przyrody (Dz. U. z 2022 r., poz. 916 ze zm.), w tym poza wyznaczonymi, mającymi znaczenie dla Wspólnoty i projektowanymi przekazanymi do Komisji Europejskiej obszarami Natura 2000.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Po zapoznaniu się z dokumentacją stwierdzono, że wnioskowana zmiana nie powoduje zajęcia nowych terenów przez poszczególne elementy inwestycji.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lastRenderedPageBreak/>
        <w:t xml:space="preserve">Jak wynika z dokumentacji, Inwestor uzyskał decyzje na wycinkę drzew: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Decyzja Prezydenta Miasta Włocławek z dnia 28 stycznia 2022 r., znak S.6131.27.2022; </w:t>
      </w:r>
      <w:r w:rsidRPr="007B43C5">
        <w:rPr>
          <w:rFonts w:ascii="Arial" w:hAnsi="Arial" w:cs="Arial"/>
        </w:rPr>
        <w:softHyphen/>
        <w:t xml:space="preserve"> </w:t>
      </w:r>
    </w:p>
    <w:p w:rsidR="007B43C5" w:rsidRPr="007B43C5" w:rsidRDefault="007B43C5" w:rsidP="007B43C5">
      <w:pPr>
        <w:rPr>
          <w:rFonts w:ascii="Arial" w:hAnsi="Arial" w:cs="Arial"/>
        </w:rPr>
      </w:pPr>
      <w:r w:rsidRPr="007B43C5">
        <w:rPr>
          <w:rFonts w:ascii="Arial" w:hAnsi="Arial" w:cs="Arial"/>
        </w:rPr>
        <w:t xml:space="preserve">- Decyzja Prezydenta Miasta Włocławek z dnia 15 lutego 2022 r., znak S.6131.599.2021.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W związku z planowaną wycinką drzew oraz rozbiórką budynków, obowiązują warunki realizacji inwestycji w zakresie ochrony przyrody, które zostały określone w decyzji Prezydenta Miasta Włocławek z dnia 05.08.2021 r. znak: S.6220.19.2021.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Na podstawie przeprowadzonej analizy przedłożonej dokumentacji ustalono, że realizacja i eksploatacja zamierzenia nie powinna skutkować niekorzystnym wpływem na środowisko przyrodnicze i krajobraz, a przyjęte działania minimalizujące wyeliminują zidentyfikowane zagrożenia względem stwierdzonych elementów środowiska przyrodniczego.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Jednocześnie informuję, że w przypadku jeśli skutkiem robót budowlanych bądź innych prac związanych z realizacją zamierzenia będzie podjęcie czynności objętych zakazami względem gatunków chronionych zwierząt, wynikającymi z art. 52 ww. ustawy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ww. ustawy o ochronie przyrody.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Analizując wpływ zamierzenia w kontekście adaptacji do skutków zmian klimatu należy stwierdzić, że przedsięwzięcie z uwagi na swój charakter, w tym brak emisji nie będzie wpływać na klimat. Przewiduje się, że materiały zastosowane przy realizacji charakteryzować się będą odpornością na wysokie temperatury, fale chłodu oraz intensywne opady śniegu. Należy także zaznaczyć, iż zostanie zlokalizowane poza terenami osuwisk oraz zagrożonymi podtopieniami. Zatem nie przewiduje się ekstremalnych sytuacji klimatycznych w obrębie analizowanego zamierzenia.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 xml:space="preserve">Planowane przedsięwzięcie położone jest na terenie obszaru przemysłowego ANWIL S.A. PKN ORLEN S.A. we Włocławku. W obrębie zakładu zlokalizowana jest znaczna liczba instalacji współtworząca cały obszar przemysłowy. Z uwagi na fakt, iż inwestycja nie jest związana z występowaniem znaczących emisji do środowiska, nie przewiduje się wystąpienia kumulacji odziaływań. </w:t>
      </w:r>
    </w:p>
    <w:p w:rsidR="007B43C5" w:rsidRPr="007B43C5" w:rsidRDefault="007B43C5" w:rsidP="007B43C5">
      <w:pPr>
        <w:rPr>
          <w:rFonts w:ascii="Arial" w:hAnsi="Arial" w:cs="Arial"/>
        </w:rPr>
      </w:pPr>
    </w:p>
    <w:p w:rsidR="007B43C5" w:rsidRPr="007B43C5" w:rsidRDefault="007B43C5" w:rsidP="007B43C5">
      <w:pPr>
        <w:rPr>
          <w:rFonts w:ascii="Arial" w:hAnsi="Arial" w:cs="Arial"/>
        </w:rPr>
      </w:pPr>
      <w:r w:rsidRPr="007B43C5">
        <w:rPr>
          <w:rFonts w:ascii="Arial" w:hAnsi="Arial" w:cs="Arial"/>
        </w:rPr>
        <w:t>Mając powyższe na uwadze, jak również wydane opinie Regionalnego Dyrektora Ochrony Środowiska w Bydgoszczy, Państwowego Powiatowego Inspektora Sanitarnego we Włocławku oraz Państwowego Gospodarstwa Wodnego – Wody Polskie, Zarząd Zlewni w Toruniu, tut. organ uznał, że dla realizacji planowanej inwestycji nie zachodzi konieczność przeprowadzenia oceny oddziaływania na środowisko.</w:t>
      </w:r>
    </w:p>
    <w:p w:rsidR="007B43C5" w:rsidRPr="007B43C5" w:rsidRDefault="007B43C5" w:rsidP="007B43C5">
      <w:pPr>
        <w:rPr>
          <w:rFonts w:ascii="Arial" w:hAnsi="Arial" w:cs="Arial"/>
          <w:color w:val="000000"/>
        </w:rPr>
      </w:pPr>
    </w:p>
    <w:p w:rsidR="007B43C5" w:rsidRPr="00185CAB" w:rsidRDefault="007B43C5" w:rsidP="007B43C5">
      <w:pPr>
        <w:tabs>
          <w:tab w:val="left" w:pos="1695"/>
        </w:tabs>
        <w:rPr>
          <w:rFonts w:ascii="Arial" w:hAnsi="Arial" w:cs="Arial"/>
          <w:iCs/>
        </w:rPr>
      </w:pPr>
    </w:p>
    <w:p w:rsidR="007B43C5" w:rsidRPr="00185CAB" w:rsidRDefault="007B43C5" w:rsidP="007B43C5">
      <w:pPr>
        <w:tabs>
          <w:tab w:val="left" w:pos="1695"/>
        </w:tabs>
        <w:rPr>
          <w:rFonts w:ascii="Arial" w:hAnsi="Arial" w:cs="Arial"/>
          <w:iCs/>
          <w:sz w:val="16"/>
          <w:szCs w:val="16"/>
        </w:rPr>
      </w:pPr>
      <w:r w:rsidRPr="00185CAB">
        <w:rPr>
          <w:rFonts w:ascii="Arial" w:hAnsi="Arial" w:cs="Arial"/>
          <w:iCs/>
          <w:sz w:val="16"/>
          <w:szCs w:val="16"/>
        </w:rPr>
        <w:t>Zgodnie z częścią</w:t>
      </w:r>
      <w:r w:rsidRPr="00185CAB">
        <w:rPr>
          <w:rFonts w:ascii="Arial" w:hAnsi="Arial" w:cs="Arial"/>
          <w:b/>
          <w:iCs/>
          <w:sz w:val="16"/>
          <w:szCs w:val="16"/>
        </w:rPr>
        <w:t xml:space="preserve"> </w:t>
      </w:r>
      <w:r w:rsidRPr="00185CAB">
        <w:rPr>
          <w:rFonts w:ascii="Arial" w:hAnsi="Arial" w:cs="Arial"/>
          <w:iCs/>
          <w:sz w:val="16"/>
          <w:szCs w:val="16"/>
        </w:rPr>
        <w:t>I pkt 45 załącznika ustawy z dnia 16 listopada 2006 r. o opłacie skarbowej (Dz. U. z 2022 r., poz. 2142 j.t.) opłatę skarbową za  zmianę decyzji o środowiskowych uwarunkowaniach</w:t>
      </w:r>
      <w:r w:rsidRPr="00185CAB">
        <w:rPr>
          <w:rFonts w:ascii="Arial" w:hAnsi="Arial" w:cs="Arial"/>
          <w:b/>
          <w:iCs/>
          <w:sz w:val="16"/>
          <w:szCs w:val="16"/>
        </w:rPr>
        <w:t xml:space="preserve"> </w:t>
      </w:r>
      <w:r w:rsidRPr="00185CAB">
        <w:rPr>
          <w:rFonts w:ascii="Arial" w:hAnsi="Arial" w:cs="Arial"/>
          <w:iCs/>
          <w:sz w:val="16"/>
          <w:szCs w:val="16"/>
        </w:rPr>
        <w:t xml:space="preserve">uiszczono w wysokości 205 zł. </w:t>
      </w:r>
    </w:p>
    <w:p w:rsidR="007B43C5" w:rsidRPr="00185CAB" w:rsidRDefault="007B43C5" w:rsidP="007B43C5">
      <w:pPr>
        <w:tabs>
          <w:tab w:val="left" w:pos="1695"/>
        </w:tabs>
        <w:rPr>
          <w:rFonts w:ascii="Arial" w:hAnsi="Arial" w:cs="Arial"/>
          <w:iCs/>
          <w:sz w:val="16"/>
          <w:szCs w:val="16"/>
        </w:rPr>
      </w:pPr>
    </w:p>
    <w:p w:rsidR="007B43C5" w:rsidRPr="00185CAB" w:rsidRDefault="007B43C5" w:rsidP="007B43C5">
      <w:pPr>
        <w:tabs>
          <w:tab w:val="left" w:pos="1695"/>
        </w:tabs>
        <w:rPr>
          <w:rFonts w:ascii="Arial" w:hAnsi="Arial" w:cs="Arial"/>
          <w:iCs/>
          <w:sz w:val="16"/>
          <w:szCs w:val="16"/>
        </w:rPr>
      </w:pPr>
      <w:r w:rsidRPr="00185CAB">
        <w:rPr>
          <w:rFonts w:ascii="Arial" w:hAnsi="Arial" w:cs="Arial"/>
          <w:iCs/>
          <w:sz w:val="16"/>
          <w:szCs w:val="16"/>
        </w:rPr>
        <w:t>Zgodnie z częścią</w:t>
      </w:r>
      <w:r w:rsidRPr="00185CAB">
        <w:rPr>
          <w:rFonts w:ascii="Arial" w:hAnsi="Arial" w:cs="Arial"/>
          <w:b/>
          <w:iCs/>
          <w:sz w:val="16"/>
          <w:szCs w:val="16"/>
        </w:rPr>
        <w:t xml:space="preserve"> </w:t>
      </w:r>
      <w:r w:rsidRPr="00185CAB">
        <w:rPr>
          <w:rFonts w:ascii="Arial" w:hAnsi="Arial" w:cs="Arial"/>
          <w:iCs/>
          <w:sz w:val="16"/>
          <w:szCs w:val="16"/>
        </w:rPr>
        <w:t>IV załącznika ustawy z dnia 16 listopada 2006 r. o opłacie skarbowej (Dz. U. z 2022 r., poz. 2142 j.t.) opłatę skarbową za złożenie pełnomocnictwa</w:t>
      </w:r>
      <w:r w:rsidRPr="00185CAB">
        <w:rPr>
          <w:rFonts w:ascii="Arial" w:hAnsi="Arial" w:cs="Arial"/>
          <w:b/>
          <w:iCs/>
          <w:sz w:val="16"/>
          <w:szCs w:val="16"/>
        </w:rPr>
        <w:t xml:space="preserve"> </w:t>
      </w:r>
      <w:r w:rsidRPr="00185CAB">
        <w:rPr>
          <w:rFonts w:ascii="Arial" w:hAnsi="Arial" w:cs="Arial"/>
          <w:iCs/>
          <w:sz w:val="16"/>
          <w:szCs w:val="16"/>
        </w:rPr>
        <w:t>uiszczono</w:t>
      </w:r>
      <w:r w:rsidRPr="00185CAB">
        <w:rPr>
          <w:rFonts w:ascii="Arial" w:hAnsi="Arial" w:cs="Arial"/>
          <w:b/>
          <w:iCs/>
          <w:sz w:val="16"/>
          <w:szCs w:val="16"/>
        </w:rPr>
        <w:t xml:space="preserve"> </w:t>
      </w:r>
      <w:r w:rsidRPr="00185CAB">
        <w:rPr>
          <w:rFonts w:ascii="Arial" w:hAnsi="Arial" w:cs="Arial"/>
          <w:iCs/>
          <w:sz w:val="16"/>
          <w:szCs w:val="16"/>
        </w:rPr>
        <w:t>w wysokości 34 zł.</w:t>
      </w:r>
    </w:p>
    <w:p w:rsidR="007B43C5" w:rsidRPr="007B43C5" w:rsidRDefault="007B43C5" w:rsidP="007B43C5">
      <w:pPr>
        <w:tabs>
          <w:tab w:val="left" w:pos="1695"/>
        </w:tabs>
        <w:rPr>
          <w:rFonts w:ascii="Arial" w:hAnsi="Arial" w:cs="Arial"/>
          <w:i/>
          <w:sz w:val="16"/>
          <w:szCs w:val="16"/>
        </w:rPr>
      </w:pPr>
    </w:p>
    <w:p w:rsidR="007B43C5" w:rsidRPr="007B43C5" w:rsidRDefault="007B43C5" w:rsidP="007B43C5">
      <w:pPr>
        <w:tabs>
          <w:tab w:val="left" w:pos="1695"/>
        </w:tabs>
        <w:rPr>
          <w:rFonts w:ascii="Arial" w:hAnsi="Arial" w:cs="Arial"/>
          <w:i/>
          <w:sz w:val="16"/>
          <w:szCs w:val="16"/>
        </w:rPr>
      </w:pPr>
    </w:p>
    <w:p w:rsidR="007B43C5" w:rsidRPr="007B43C5" w:rsidRDefault="007B43C5" w:rsidP="007B43C5">
      <w:pPr>
        <w:tabs>
          <w:tab w:val="left" w:pos="1695"/>
        </w:tabs>
        <w:rPr>
          <w:rFonts w:ascii="Arial" w:hAnsi="Arial" w:cs="Arial"/>
          <w:i/>
          <w:sz w:val="16"/>
          <w:szCs w:val="16"/>
        </w:rPr>
      </w:pPr>
    </w:p>
    <w:p w:rsidR="007B43C5" w:rsidRPr="007B43C5" w:rsidRDefault="007B43C5" w:rsidP="007B43C5">
      <w:pPr>
        <w:tabs>
          <w:tab w:val="left" w:pos="1695"/>
        </w:tabs>
        <w:rPr>
          <w:rFonts w:ascii="Arial" w:hAnsi="Arial" w:cs="Arial"/>
          <w:i/>
          <w:sz w:val="16"/>
          <w:szCs w:val="16"/>
        </w:rPr>
      </w:pPr>
    </w:p>
    <w:p w:rsidR="007B43C5" w:rsidRPr="007B43C5" w:rsidRDefault="007B43C5" w:rsidP="007B43C5">
      <w:pPr>
        <w:tabs>
          <w:tab w:val="left" w:pos="1695"/>
        </w:tabs>
        <w:rPr>
          <w:rFonts w:ascii="Arial" w:hAnsi="Arial" w:cs="Arial"/>
          <w:i/>
          <w:sz w:val="16"/>
          <w:szCs w:val="16"/>
        </w:rPr>
      </w:pPr>
    </w:p>
    <w:p w:rsidR="007B43C5" w:rsidRPr="007B43C5" w:rsidRDefault="007B43C5" w:rsidP="007B43C5">
      <w:pPr>
        <w:tabs>
          <w:tab w:val="left" w:pos="1695"/>
        </w:tabs>
        <w:rPr>
          <w:rFonts w:ascii="Arial" w:hAnsi="Arial" w:cs="Arial"/>
          <w:i/>
          <w:sz w:val="16"/>
          <w:szCs w:val="16"/>
        </w:rPr>
      </w:pPr>
    </w:p>
    <w:p w:rsidR="007B43C5" w:rsidRPr="007B43C5" w:rsidRDefault="007B43C5" w:rsidP="007B43C5">
      <w:pPr>
        <w:tabs>
          <w:tab w:val="left" w:pos="1695"/>
        </w:tabs>
        <w:rPr>
          <w:rFonts w:ascii="Arial" w:hAnsi="Arial" w:cs="Arial"/>
          <w:i/>
          <w:sz w:val="16"/>
          <w:szCs w:val="16"/>
        </w:rPr>
      </w:pPr>
    </w:p>
    <w:p w:rsidR="007B43C5" w:rsidRPr="007B43C5" w:rsidRDefault="007B43C5" w:rsidP="007B43C5">
      <w:pPr>
        <w:rPr>
          <w:rFonts w:ascii="Arial" w:hAnsi="Arial" w:cs="Arial"/>
          <w:b/>
        </w:rPr>
      </w:pPr>
      <w:r w:rsidRPr="007B43C5">
        <w:rPr>
          <w:rFonts w:ascii="Arial" w:hAnsi="Arial" w:cs="Arial"/>
          <w:b/>
        </w:rPr>
        <w:t>Pouczenie</w:t>
      </w:r>
    </w:p>
    <w:p w:rsidR="007B43C5" w:rsidRPr="007B43C5" w:rsidRDefault="007B43C5" w:rsidP="007B43C5">
      <w:pPr>
        <w:rPr>
          <w:rFonts w:ascii="Arial" w:hAnsi="Arial" w:cs="Arial"/>
          <w:b/>
        </w:rPr>
      </w:pPr>
    </w:p>
    <w:p w:rsidR="007B43C5" w:rsidRPr="007B43C5" w:rsidRDefault="007B43C5" w:rsidP="007B43C5">
      <w:pPr>
        <w:rPr>
          <w:rFonts w:ascii="Arial" w:hAnsi="Arial" w:cs="Arial"/>
        </w:rPr>
      </w:pPr>
      <w:r w:rsidRPr="007B43C5">
        <w:rPr>
          <w:rFonts w:ascii="Arial" w:hAnsi="Arial" w:cs="Arial"/>
        </w:rPr>
        <w:t xml:space="preserve">Od niniejszej decyzji przysługuje stronom wniesienie odwołania do Samorządowego Kolegium Odwoławczego we Włocławku za pośrednictwem Prezydenta Miasta Włocławek w terminie 14 dni </w:t>
      </w:r>
      <w:r w:rsidRPr="007B43C5">
        <w:rPr>
          <w:rFonts w:ascii="Arial" w:hAnsi="Arial" w:cs="Arial"/>
        </w:rPr>
        <w:br/>
        <w:t xml:space="preserve">od dnia jej doręczenia. </w:t>
      </w:r>
    </w:p>
    <w:p w:rsidR="007B43C5" w:rsidRPr="007B43C5" w:rsidRDefault="007B43C5" w:rsidP="007B43C5">
      <w:pPr>
        <w:rPr>
          <w:rFonts w:ascii="Arial" w:hAnsi="Arial" w:cs="Arial"/>
        </w:rPr>
      </w:pPr>
      <w:r w:rsidRPr="007B43C5">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rsidR="007B43C5" w:rsidRPr="007B43C5" w:rsidRDefault="007B43C5" w:rsidP="007B43C5">
      <w:pPr>
        <w:shd w:val="clear" w:color="auto" w:fill="FFFFFF"/>
        <w:rPr>
          <w:rFonts w:ascii="Arial" w:hAnsi="Arial" w:cs="Arial"/>
        </w:rPr>
      </w:pPr>
      <w:r w:rsidRPr="007B43C5">
        <w:rPr>
          <w:rFonts w:ascii="Arial" w:hAnsi="Arial" w:cs="Arial"/>
        </w:rPr>
        <w:t>Decyzja ta nie jest również pozwoleniem na budowę i nie uprawnia do rozpoczęcia robót budowlanych.</w:t>
      </w:r>
    </w:p>
    <w:p w:rsidR="007B43C5" w:rsidRPr="007B43C5" w:rsidRDefault="007B43C5" w:rsidP="007B43C5">
      <w:pPr>
        <w:shd w:val="clear" w:color="auto" w:fill="FFFFFF"/>
        <w:rPr>
          <w:rFonts w:ascii="Arial" w:hAnsi="Arial" w:cs="Arial"/>
        </w:rPr>
      </w:pPr>
      <w:r w:rsidRPr="007B43C5">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rsidR="007B43C5" w:rsidRPr="007B43C5" w:rsidRDefault="007B43C5" w:rsidP="007B43C5">
      <w:pPr>
        <w:rPr>
          <w:rFonts w:ascii="Arial" w:hAnsi="Arial" w:cs="Arial"/>
        </w:rPr>
      </w:pPr>
      <w:r w:rsidRPr="007B43C5">
        <w:rPr>
          <w:rFonts w:ascii="Arial" w:hAnsi="Arial" w:cs="Arial"/>
        </w:rPr>
        <w:t xml:space="preserve">Zgodnie z art. 72 ust. 3 ustawy o udostępnianiu informacji o środowisku, udziale społeczeństwa </w:t>
      </w:r>
      <w:r w:rsidRPr="007B43C5">
        <w:rPr>
          <w:rFonts w:ascii="Arial" w:hAnsi="Arial" w:cs="Arial"/>
        </w:rPr>
        <w:br/>
        <w:t xml:space="preserve">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rsidR="007B43C5" w:rsidRPr="007B43C5" w:rsidRDefault="007B43C5" w:rsidP="007B43C5">
      <w:pPr>
        <w:pStyle w:val="NormalnyWeb"/>
        <w:ind w:left="0"/>
        <w:rPr>
          <w:rFonts w:ascii="Arial" w:hAnsi="Arial" w:cs="Arial"/>
        </w:rPr>
      </w:pPr>
      <w:r w:rsidRPr="007B43C5">
        <w:rPr>
          <w:rFonts w:ascii="Arial" w:hAnsi="Arial" w:cs="Arial"/>
        </w:rPr>
        <w:t xml:space="preserve">Zgodnie z art. 127a ustawy Kodeks postępowania administracyjnego w trakcie biegu terminu </w:t>
      </w:r>
      <w:r w:rsidRPr="007B43C5">
        <w:rPr>
          <w:rFonts w:ascii="Arial" w:hAnsi="Arial" w:cs="Arial"/>
        </w:rPr>
        <w:br/>
        <w:t xml:space="preserve">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7B43C5">
        <w:rPr>
          <w:rFonts w:ascii="Arial" w:hAnsi="Arial" w:cs="Arial"/>
        </w:rPr>
        <w:br/>
        <w:t>i prawomocna.</w:t>
      </w:r>
    </w:p>
    <w:p w:rsidR="007B43C5" w:rsidRPr="007B43C5" w:rsidRDefault="007B43C5" w:rsidP="007B43C5">
      <w:pPr>
        <w:rPr>
          <w:rFonts w:ascii="Arial" w:hAnsi="Arial" w:cs="Arial"/>
          <w:sz w:val="20"/>
          <w:szCs w:val="20"/>
        </w:rPr>
      </w:pPr>
    </w:p>
    <w:p w:rsidR="007B43C5" w:rsidRPr="007B43C5" w:rsidRDefault="007B43C5" w:rsidP="007B43C5">
      <w:pPr>
        <w:rPr>
          <w:rFonts w:ascii="Arial" w:hAnsi="Arial" w:cs="Arial"/>
          <w:b/>
          <w:sz w:val="22"/>
          <w:szCs w:val="22"/>
        </w:rPr>
      </w:pPr>
    </w:p>
    <w:p w:rsidR="007B43C5" w:rsidRPr="007B43C5" w:rsidRDefault="007B43C5" w:rsidP="007B43C5">
      <w:pPr>
        <w:rPr>
          <w:rFonts w:ascii="Arial" w:hAnsi="Arial" w:cs="Arial"/>
          <w:b/>
          <w:sz w:val="22"/>
          <w:szCs w:val="22"/>
        </w:rPr>
      </w:pPr>
    </w:p>
    <w:p w:rsidR="007B43C5" w:rsidRPr="007B43C5" w:rsidRDefault="007B43C5" w:rsidP="007B43C5">
      <w:pPr>
        <w:rPr>
          <w:rFonts w:ascii="Arial" w:hAnsi="Arial" w:cs="Arial"/>
          <w:b/>
          <w:sz w:val="22"/>
          <w:szCs w:val="22"/>
        </w:rPr>
      </w:pPr>
    </w:p>
    <w:p w:rsidR="007B43C5" w:rsidRPr="007B43C5" w:rsidRDefault="007B43C5" w:rsidP="007B43C5">
      <w:pPr>
        <w:rPr>
          <w:rFonts w:ascii="Arial" w:hAnsi="Arial" w:cs="Arial"/>
          <w:b/>
          <w:sz w:val="22"/>
          <w:szCs w:val="22"/>
        </w:rPr>
      </w:pPr>
      <w:r w:rsidRPr="007B43C5">
        <w:rPr>
          <w:rFonts w:ascii="Arial" w:hAnsi="Arial" w:cs="Arial"/>
          <w:b/>
          <w:sz w:val="22"/>
          <w:szCs w:val="22"/>
        </w:rPr>
        <w:t>Załączniki:</w:t>
      </w:r>
    </w:p>
    <w:p w:rsidR="007B43C5" w:rsidRPr="007B43C5" w:rsidRDefault="007B43C5" w:rsidP="007B43C5">
      <w:pPr>
        <w:rPr>
          <w:rFonts w:ascii="Arial" w:hAnsi="Arial" w:cs="Arial"/>
          <w:sz w:val="22"/>
          <w:szCs w:val="22"/>
        </w:rPr>
      </w:pPr>
      <w:r w:rsidRPr="007B43C5">
        <w:rPr>
          <w:rFonts w:ascii="Arial" w:hAnsi="Arial" w:cs="Arial"/>
          <w:sz w:val="22"/>
          <w:szCs w:val="22"/>
        </w:rPr>
        <w:t xml:space="preserve">Charakterystyka planowanego przedsięwzięcia </w:t>
      </w:r>
    </w:p>
    <w:p w:rsidR="007B43C5" w:rsidRPr="007B43C5" w:rsidRDefault="007B43C5" w:rsidP="007B43C5">
      <w:pPr>
        <w:rPr>
          <w:rFonts w:ascii="Arial" w:hAnsi="Arial" w:cs="Arial"/>
          <w:b/>
          <w:sz w:val="18"/>
          <w:szCs w:val="18"/>
        </w:rPr>
      </w:pPr>
    </w:p>
    <w:p w:rsidR="007B43C5" w:rsidRPr="007B43C5" w:rsidRDefault="007B43C5" w:rsidP="007B43C5">
      <w:pPr>
        <w:rPr>
          <w:rFonts w:ascii="Arial" w:hAnsi="Arial" w:cs="Arial"/>
          <w:b/>
          <w:sz w:val="18"/>
          <w:szCs w:val="18"/>
        </w:rPr>
      </w:pPr>
    </w:p>
    <w:p w:rsidR="007B43C5" w:rsidRPr="007B43C5" w:rsidRDefault="007B43C5" w:rsidP="007B43C5">
      <w:pPr>
        <w:rPr>
          <w:rFonts w:ascii="Arial" w:hAnsi="Arial" w:cs="Arial"/>
          <w:b/>
          <w:sz w:val="18"/>
          <w:szCs w:val="18"/>
        </w:rPr>
      </w:pPr>
    </w:p>
    <w:p w:rsidR="007B43C5" w:rsidRPr="007B43C5" w:rsidRDefault="007B43C5" w:rsidP="007B43C5">
      <w:pPr>
        <w:rPr>
          <w:rFonts w:ascii="Arial" w:hAnsi="Arial" w:cs="Arial"/>
          <w:b/>
          <w:sz w:val="18"/>
          <w:szCs w:val="18"/>
        </w:rPr>
      </w:pPr>
    </w:p>
    <w:p w:rsidR="007B43C5" w:rsidRPr="007B43C5" w:rsidRDefault="007B43C5" w:rsidP="007B43C5">
      <w:pPr>
        <w:rPr>
          <w:rFonts w:ascii="Arial" w:hAnsi="Arial" w:cs="Arial"/>
          <w:sz w:val="18"/>
          <w:szCs w:val="18"/>
        </w:rPr>
      </w:pPr>
      <w:r w:rsidRPr="007B43C5">
        <w:rPr>
          <w:rFonts w:ascii="Arial" w:hAnsi="Arial" w:cs="Arial"/>
          <w:b/>
          <w:sz w:val="18"/>
          <w:szCs w:val="18"/>
        </w:rPr>
        <w:t>Otrzymują:</w:t>
      </w:r>
    </w:p>
    <w:p w:rsidR="007B43C5" w:rsidRPr="007B43C5" w:rsidRDefault="007B43C5" w:rsidP="007B43C5">
      <w:pPr>
        <w:rPr>
          <w:rFonts w:ascii="Arial" w:hAnsi="Arial" w:cs="Arial"/>
          <w:sz w:val="20"/>
          <w:szCs w:val="20"/>
        </w:rPr>
      </w:pPr>
      <w:r w:rsidRPr="007B43C5">
        <w:rPr>
          <w:rFonts w:ascii="Arial" w:hAnsi="Arial" w:cs="Arial"/>
          <w:sz w:val="20"/>
          <w:szCs w:val="20"/>
        </w:rPr>
        <w:t xml:space="preserve">Pan Radosław Karwowski – pełnomocnik PKN ORLEN S.A. </w:t>
      </w:r>
    </w:p>
    <w:p w:rsidR="007B43C5" w:rsidRPr="007B43C5" w:rsidRDefault="007B43C5" w:rsidP="007B43C5">
      <w:pPr>
        <w:rPr>
          <w:rFonts w:ascii="Arial" w:hAnsi="Arial" w:cs="Arial"/>
          <w:sz w:val="20"/>
          <w:szCs w:val="20"/>
        </w:rPr>
      </w:pPr>
      <w:r w:rsidRPr="007B43C5">
        <w:rPr>
          <w:rFonts w:ascii="Arial" w:hAnsi="Arial" w:cs="Arial"/>
          <w:sz w:val="20"/>
          <w:szCs w:val="20"/>
        </w:rPr>
        <w:t>Pan Piotr Sartanowicz - pełnomocnik ANWIL S.A.</w:t>
      </w:r>
    </w:p>
    <w:p w:rsidR="007B43C5" w:rsidRPr="007B43C5" w:rsidRDefault="007B43C5" w:rsidP="007B43C5">
      <w:pPr>
        <w:rPr>
          <w:rFonts w:ascii="Arial" w:hAnsi="Arial" w:cs="Arial"/>
          <w:sz w:val="20"/>
          <w:szCs w:val="20"/>
        </w:rPr>
      </w:pPr>
      <w:r w:rsidRPr="007B43C5">
        <w:rPr>
          <w:rFonts w:ascii="Arial" w:hAnsi="Arial" w:cs="Arial"/>
          <w:sz w:val="20"/>
          <w:szCs w:val="20"/>
        </w:rPr>
        <w:t>Gmina Miasto Włocławek</w:t>
      </w:r>
    </w:p>
    <w:p w:rsidR="007B43C5" w:rsidRPr="007B43C5" w:rsidRDefault="007B43C5" w:rsidP="007B43C5">
      <w:pPr>
        <w:rPr>
          <w:rFonts w:ascii="Arial" w:hAnsi="Arial" w:cs="Arial"/>
          <w:sz w:val="20"/>
          <w:szCs w:val="20"/>
        </w:rPr>
      </w:pPr>
      <w:r w:rsidRPr="007B43C5">
        <w:rPr>
          <w:rFonts w:ascii="Arial" w:hAnsi="Arial" w:cs="Arial"/>
          <w:sz w:val="20"/>
          <w:szCs w:val="20"/>
        </w:rPr>
        <w:t xml:space="preserve">Miejski Zarząd Infrastruktury Drogowej i Transportu we Włocławku </w:t>
      </w:r>
    </w:p>
    <w:p w:rsidR="007B43C5" w:rsidRPr="007B43C5" w:rsidRDefault="007B43C5" w:rsidP="007B43C5">
      <w:pPr>
        <w:rPr>
          <w:rFonts w:ascii="Arial" w:hAnsi="Arial" w:cs="Arial"/>
          <w:sz w:val="20"/>
          <w:szCs w:val="20"/>
        </w:rPr>
      </w:pPr>
      <w:r w:rsidRPr="007B43C5">
        <w:rPr>
          <w:rFonts w:ascii="Arial" w:hAnsi="Arial" w:cs="Arial"/>
          <w:sz w:val="20"/>
          <w:szCs w:val="20"/>
        </w:rPr>
        <w:t>ENERGA-OPERATOR S.A. w Gdańsku</w:t>
      </w:r>
    </w:p>
    <w:p w:rsidR="007B43C5" w:rsidRPr="007B43C5" w:rsidRDefault="007B43C5" w:rsidP="007B43C5">
      <w:pPr>
        <w:rPr>
          <w:rFonts w:ascii="Arial" w:hAnsi="Arial" w:cs="Arial"/>
          <w:sz w:val="20"/>
          <w:szCs w:val="20"/>
        </w:rPr>
      </w:pPr>
      <w:r w:rsidRPr="007B43C5">
        <w:rPr>
          <w:rFonts w:ascii="Arial" w:hAnsi="Arial" w:cs="Arial"/>
          <w:sz w:val="20"/>
          <w:szCs w:val="20"/>
        </w:rPr>
        <w:lastRenderedPageBreak/>
        <w:t xml:space="preserve">Polskie Sieci Elektroenergetyczne S.A. w Warszawie </w:t>
      </w:r>
    </w:p>
    <w:p w:rsidR="007B43C5" w:rsidRPr="007B43C5" w:rsidRDefault="007B43C5" w:rsidP="007B43C5">
      <w:pPr>
        <w:rPr>
          <w:rFonts w:ascii="Arial" w:hAnsi="Arial" w:cs="Arial"/>
          <w:color w:val="333333"/>
          <w:sz w:val="18"/>
          <w:szCs w:val="18"/>
        </w:rPr>
      </w:pPr>
    </w:p>
    <w:p w:rsidR="007B43C5" w:rsidRPr="007B43C5" w:rsidRDefault="007B43C5" w:rsidP="007B43C5">
      <w:pPr>
        <w:rPr>
          <w:rFonts w:ascii="Arial" w:hAnsi="Arial" w:cs="Arial"/>
          <w:sz w:val="18"/>
          <w:szCs w:val="18"/>
        </w:rPr>
      </w:pPr>
    </w:p>
    <w:p w:rsidR="007B43C5" w:rsidRPr="007B43C5" w:rsidRDefault="007B43C5" w:rsidP="007B43C5">
      <w:pPr>
        <w:rPr>
          <w:rFonts w:ascii="Arial" w:hAnsi="Arial" w:cs="Arial"/>
          <w:sz w:val="20"/>
          <w:szCs w:val="20"/>
        </w:rPr>
      </w:pPr>
      <w:r w:rsidRPr="007B43C5">
        <w:rPr>
          <w:rFonts w:ascii="Arial" w:hAnsi="Arial" w:cs="Arial"/>
          <w:b/>
          <w:sz w:val="20"/>
          <w:szCs w:val="20"/>
        </w:rPr>
        <w:t>Do wiadomości:</w:t>
      </w:r>
    </w:p>
    <w:p w:rsidR="007B43C5" w:rsidRPr="007B43C5" w:rsidRDefault="007B43C5" w:rsidP="007B43C5">
      <w:pPr>
        <w:rPr>
          <w:rFonts w:ascii="Arial" w:hAnsi="Arial" w:cs="Arial"/>
          <w:sz w:val="20"/>
          <w:szCs w:val="20"/>
        </w:rPr>
      </w:pPr>
      <w:r w:rsidRPr="007B43C5">
        <w:rPr>
          <w:rFonts w:ascii="Arial" w:hAnsi="Arial" w:cs="Arial"/>
          <w:sz w:val="20"/>
          <w:szCs w:val="20"/>
        </w:rPr>
        <w:t>Regionalny Dyrektor Ochrony Środowiska w Bydgoszczy</w:t>
      </w:r>
    </w:p>
    <w:p w:rsidR="007B43C5" w:rsidRPr="007B43C5" w:rsidRDefault="007B43C5" w:rsidP="007B43C5">
      <w:pPr>
        <w:rPr>
          <w:rFonts w:ascii="Arial" w:hAnsi="Arial" w:cs="Arial"/>
          <w:sz w:val="20"/>
          <w:szCs w:val="20"/>
        </w:rPr>
      </w:pPr>
      <w:r w:rsidRPr="007B43C5">
        <w:rPr>
          <w:rFonts w:ascii="Arial" w:hAnsi="Arial" w:cs="Arial"/>
          <w:sz w:val="20"/>
          <w:szCs w:val="20"/>
        </w:rPr>
        <w:t xml:space="preserve">Państwowy Powiatowy Inspektor Sanitarny we Włocławku </w:t>
      </w:r>
    </w:p>
    <w:p w:rsidR="007B43C5" w:rsidRPr="007B43C5" w:rsidRDefault="007B43C5" w:rsidP="007B43C5">
      <w:pPr>
        <w:rPr>
          <w:rFonts w:ascii="Arial" w:hAnsi="Arial" w:cs="Arial"/>
          <w:sz w:val="20"/>
          <w:szCs w:val="20"/>
        </w:rPr>
      </w:pPr>
      <w:r w:rsidRPr="007B43C5">
        <w:rPr>
          <w:rFonts w:ascii="Arial" w:hAnsi="Arial" w:cs="Arial"/>
          <w:sz w:val="20"/>
          <w:szCs w:val="20"/>
        </w:rPr>
        <w:t>Państwowe Gospodarstwo Wodne Wody Polskie, Zarząd Zlewni w Toruniu</w:t>
      </w:r>
    </w:p>
    <w:p w:rsidR="007B43C5" w:rsidRPr="007B43C5" w:rsidRDefault="007B43C5" w:rsidP="007B43C5">
      <w:pPr>
        <w:rPr>
          <w:rFonts w:ascii="Arial" w:hAnsi="Arial" w:cs="Arial"/>
          <w:sz w:val="20"/>
          <w:szCs w:val="20"/>
        </w:rPr>
      </w:pPr>
      <w:r w:rsidRPr="007B43C5">
        <w:rPr>
          <w:rFonts w:ascii="Arial" w:hAnsi="Arial" w:cs="Arial"/>
          <w:sz w:val="20"/>
          <w:szCs w:val="20"/>
        </w:rPr>
        <w:t xml:space="preserve">a/a A.P. </w:t>
      </w:r>
    </w:p>
    <w:p w:rsidR="007B43C5" w:rsidRPr="007B43C5" w:rsidRDefault="007B43C5" w:rsidP="007B43C5">
      <w:pPr>
        <w:rPr>
          <w:rFonts w:ascii="Arial" w:hAnsi="Arial" w:cs="Arial"/>
          <w:sz w:val="16"/>
          <w:szCs w:val="16"/>
        </w:rPr>
      </w:pPr>
    </w:p>
    <w:p w:rsidR="007B43C5" w:rsidRPr="007B43C5" w:rsidRDefault="007B43C5" w:rsidP="007B43C5">
      <w:pPr>
        <w:rPr>
          <w:rFonts w:ascii="Arial" w:hAnsi="Arial" w:cs="Arial"/>
          <w:sz w:val="16"/>
          <w:szCs w:val="16"/>
        </w:rPr>
      </w:pPr>
    </w:p>
    <w:p w:rsidR="007B43C5" w:rsidRPr="007B43C5" w:rsidRDefault="007B43C5" w:rsidP="007B43C5">
      <w:pPr>
        <w:rPr>
          <w:rFonts w:ascii="Arial" w:hAnsi="Arial" w:cs="Arial"/>
          <w:sz w:val="16"/>
          <w:szCs w:val="16"/>
        </w:rPr>
      </w:pPr>
    </w:p>
    <w:p w:rsidR="007B43C5" w:rsidRPr="007B43C5" w:rsidRDefault="007B43C5" w:rsidP="007B43C5">
      <w:pPr>
        <w:rPr>
          <w:rFonts w:ascii="Arial" w:hAnsi="Arial" w:cs="Arial"/>
          <w:sz w:val="16"/>
          <w:szCs w:val="16"/>
        </w:rPr>
      </w:pPr>
    </w:p>
    <w:p w:rsidR="001A64D2" w:rsidRDefault="001A64D2"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185CAB" w:rsidRDefault="00185CAB" w:rsidP="007B43C5">
      <w:pPr>
        <w:rPr>
          <w:rFonts w:ascii="Arial" w:hAnsi="Arial" w:cs="Arial"/>
          <w:sz w:val="16"/>
          <w:szCs w:val="16"/>
        </w:rPr>
      </w:pPr>
    </w:p>
    <w:p w:rsidR="00050B5E" w:rsidRPr="00050B5E" w:rsidRDefault="00050B5E" w:rsidP="00050B5E">
      <w:pPr>
        <w:rPr>
          <w:rFonts w:ascii="Arial" w:hAnsi="Arial" w:cs="Arial"/>
        </w:rPr>
      </w:pPr>
      <w:r>
        <w:rPr>
          <w:rFonts w:ascii="Arial Narrow" w:hAnsi="Arial Narrow"/>
        </w:rPr>
        <w:lastRenderedPageBreak/>
        <w:t xml:space="preserve">                                                                                                                                                                                                                                                                                                                                                                                   </w:t>
      </w:r>
      <w:r w:rsidRPr="00050B5E">
        <w:rPr>
          <w:rFonts w:ascii="Arial" w:hAnsi="Arial" w:cs="Arial"/>
        </w:rPr>
        <w:t>Włocławek, 10 stycznia 2023</w:t>
      </w:r>
      <w:r w:rsidRPr="00050B5E">
        <w:rPr>
          <w:rFonts w:ascii="Arial" w:hAnsi="Arial" w:cs="Arial"/>
          <w:color w:val="FF0000"/>
        </w:rPr>
        <w:t xml:space="preserve">  </w:t>
      </w:r>
      <w:r w:rsidRPr="00050B5E">
        <w:rPr>
          <w:rFonts w:ascii="Arial" w:hAnsi="Arial" w:cs="Arial"/>
        </w:rPr>
        <w:t xml:space="preserve">r.               </w:t>
      </w:r>
    </w:p>
    <w:p w:rsidR="00050B5E" w:rsidRPr="00050B5E" w:rsidRDefault="00050B5E" w:rsidP="00050B5E">
      <w:pPr>
        <w:rPr>
          <w:rFonts w:ascii="Arial" w:hAnsi="Arial" w:cs="Arial"/>
        </w:rPr>
      </w:pPr>
      <w:r w:rsidRPr="00050B5E">
        <w:rPr>
          <w:rFonts w:ascii="Arial" w:hAnsi="Arial" w:cs="Arial"/>
        </w:rPr>
        <w:t xml:space="preserve"> </w:t>
      </w:r>
    </w:p>
    <w:p w:rsidR="00050B5E" w:rsidRPr="00050B5E" w:rsidRDefault="00050B5E" w:rsidP="00050B5E">
      <w:pPr>
        <w:rPr>
          <w:rFonts w:ascii="Arial" w:hAnsi="Arial" w:cs="Arial"/>
          <w:b/>
        </w:rPr>
      </w:pPr>
      <w:r w:rsidRPr="00050B5E">
        <w:rPr>
          <w:rFonts w:ascii="Arial" w:hAnsi="Arial" w:cs="Arial"/>
        </w:rPr>
        <w:t xml:space="preserve">Załącznik do decyzji Prezydenta Miasta Włocławek z dnia 10.01.2023 r. znak: S.6220.38.2022 o środowiskowych uwarunkowaniach dla przedsięwzięcia pn.: </w:t>
      </w:r>
      <w:r w:rsidRPr="00050B5E">
        <w:rPr>
          <w:rFonts w:ascii="Arial" w:hAnsi="Arial" w:cs="Arial"/>
          <w:b/>
        </w:rPr>
        <w:t>„Budowa Dystrybucji Wodoru we Włocławku”</w:t>
      </w:r>
    </w:p>
    <w:p w:rsidR="00050B5E" w:rsidRPr="00050B5E" w:rsidRDefault="00050B5E" w:rsidP="00050B5E">
      <w:pPr>
        <w:rPr>
          <w:rFonts w:ascii="Arial" w:hAnsi="Arial" w:cs="Arial"/>
          <w:b/>
        </w:rPr>
      </w:pPr>
    </w:p>
    <w:p w:rsidR="00050B5E" w:rsidRPr="00050B5E" w:rsidRDefault="00050B5E" w:rsidP="00050B5E">
      <w:pPr>
        <w:rPr>
          <w:rFonts w:ascii="Arial" w:hAnsi="Arial" w:cs="Arial"/>
        </w:rPr>
      </w:pPr>
    </w:p>
    <w:p w:rsidR="00050B5E" w:rsidRPr="00050B5E" w:rsidRDefault="00050B5E" w:rsidP="00050B5E">
      <w:pPr>
        <w:rPr>
          <w:rFonts w:ascii="Arial" w:hAnsi="Arial" w:cs="Arial"/>
          <w:b/>
        </w:rPr>
      </w:pPr>
      <w:r w:rsidRPr="00050B5E">
        <w:rPr>
          <w:rFonts w:ascii="Arial" w:hAnsi="Arial" w:cs="Arial"/>
          <w:b/>
        </w:rPr>
        <w:t>Charakterystyka przedsięwzięcia</w:t>
      </w:r>
    </w:p>
    <w:p w:rsidR="00050B5E" w:rsidRPr="00050B5E" w:rsidRDefault="00050B5E" w:rsidP="00050B5E">
      <w:pPr>
        <w:rPr>
          <w:rFonts w:ascii="Arial" w:hAnsi="Arial" w:cs="Arial"/>
          <w:b/>
        </w:rPr>
      </w:pPr>
    </w:p>
    <w:p w:rsidR="00050B5E" w:rsidRPr="00050B5E" w:rsidRDefault="00050B5E" w:rsidP="00050B5E">
      <w:pPr>
        <w:rPr>
          <w:rFonts w:ascii="Arial" w:hAnsi="Arial" w:cs="Arial"/>
        </w:rPr>
      </w:pPr>
    </w:p>
    <w:p w:rsidR="00050B5E" w:rsidRPr="00050B5E" w:rsidRDefault="00050B5E" w:rsidP="00050B5E">
      <w:pPr>
        <w:pStyle w:val="TEKST"/>
        <w:spacing w:before="0" w:after="0" w:line="240" w:lineRule="auto"/>
        <w:ind w:firstLine="0"/>
        <w:jc w:val="left"/>
        <w:rPr>
          <w:rFonts w:ascii="Arial" w:hAnsi="Arial" w:cs="Arial"/>
          <w:sz w:val="24"/>
        </w:rPr>
      </w:pPr>
      <w:r w:rsidRPr="00050B5E">
        <w:rPr>
          <w:rFonts w:ascii="Arial" w:hAnsi="Arial" w:cs="Arial"/>
          <w:sz w:val="24"/>
        </w:rPr>
        <w:t xml:space="preserve">Planowana inwestycja dotyczy budowy centrum dystrybucji wodoru we Włocławku, w którego skład wchodzą: węzeł oczyszczania wodoru (ISBL) i węzeł dystrybucji oczyszczonego wodoru (OSBL). Wodór wytwarzany jest metodą elektrolizy membranowej w istniejącej Instalacji Choru i Ługu Sodowego w Obszarze Produkcji Tworzyw Sztucznych Anwil S.A. Wodór otrzymany w wyniku elektrolizy musi zostać oczyszczony z nadmiaru azotu i wody, aby spełnić wymagania stawiane wodorowi wykorzystywanemu jako paliwo dla ogniw wodorowych. W początkowym okresie zasadniczy strumień kierowany będzie, jak to się dzieje obecnie, do instalacji w Obszarze Produkcji Nawozów. Docelowo do węzła oczyszczania kierowana będzie całość wytwarzanego wodoru. Przeznaczenie części wodoru do oczyszczania i dystrybucji w planowanym Centrum dystrybucji wodoru nie spowoduje zwiększenia produkcji wytwarzanego wodoru. Oczyszczanie wodoru odbywać się będzie metodą PSA plus deoxo, która nie jest kwalifikowana jako działalność związana z wytarzaniem nieorganicznych związków chemicznych. Metoda ta opiera się na zjawiskach adsorpcji i nie zachodzą tu reakcje chemiczne. Węzeł oczyszczania wodoru będzie połączony z węzłem dystrybucji poprzez rurociąg przesyłowy wodoru. </w:t>
      </w:r>
      <w:r w:rsidRPr="00050B5E">
        <w:rPr>
          <w:rFonts w:ascii="Arial" w:hAnsi="Arial" w:cs="Arial"/>
          <w:sz w:val="24"/>
        </w:rPr>
        <w:br/>
        <w:t xml:space="preserve">Na terenie węzła dystrybucji, wodór będzie dystrybuowany poprzez napełnianie specjalistycznych rurowozów do przewozu wodoru. Na terenie OSBL będą znajdować się rurowozy opróżnione, napełniane i napełnione – gotowe do odbioru. Przewiduje się miejsce na postój do sześciu napełnionych rurowozów. </w:t>
      </w:r>
    </w:p>
    <w:p w:rsidR="00050B5E" w:rsidRPr="00050B5E" w:rsidRDefault="00050B5E" w:rsidP="00050B5E">
      <w:pPr>
        <w:pStyle w:val="TEKST"/>
        <w:spacing w:before="0" w:after="0" w:line="240" w:lineRule="auto"/>
        <w:ind w:firstLine="0"/>
        <w:jc w:val="left"/>
        <w:rPr>
          <w:rFonts w:ascii="Arial" w:hAnsi="Arial" w:cs="Arial"/>
          <w:sz w:val="24"/>
        </w:rPr>
      </w:pPr>
    </w:p>
    <w:p w:rsidR="00050B5E" w:rsidRPr="00050B5E" w:rsidRDefault="00050B5E" w:rsidP="00050B5E">
      <w:pPr>
        <w:pStyle w:val="TEKST"/>
        <w:spacing w:before="0" w:after="0" w:line="240" w:lineRule="auto"/>
        <w:ind w:firstLine="0"/>
        <w:jc w:val="left"/>
        <w:rPr>
          <w:rFonts w:ascii="Arial" w:hAnsi="Arial" w:cs="Arial"/>
          <w:sz w:val="24"/>
        </w:rPr>
      </w:pPr>
      <w:r w:rsidRPr="00050B5E">
        <w:rPr>
          <w:rFonts w:ascii="Arial" w:hAnsi="Arial" w:cs="Arial"/>
          <w:sz w:val="24"/>
        </w:rPr>
        <w:t xml:space="preserve">W ramach realizacji przedsięwzięcia planuje się budowę węzła oczyszczania (ISBL) i węzła dystrybucji wodoru (OSBL) oraz rurociągu przesyłowego wodoru z ISBL do OSBL, rurociągu surowego wodoru z Obszaru Produkcji Tworzyw Sztucznych do ISBL, rurociągu oczyszczonego wodoru z ISBL do instalacji amoniaku w Obszarze Produkcji Nawozów Sztucznych, rurociągu gazu resztkowego z ISBL do kolektora gazu opałowego, podłączenie mediów niezbędnych do funkcjonowania węzłów (rurociąg azotu do inertyzacji OSBL i ISBL, rurociąg pary SS do ISBL, rurociągi zasilający i powrotny wody obiegowej do ISBL, rurociąg powietrza do ISBL i OSBL, rurociąg wody p.poż do ISBL). </w:t>
      </w:r>
    </w:p>
    <w:p w:rsidR="00050B5E" w:rsidRPr="00050B5E" w:rsidRDefault="00050B5E" w:rsidP="00050B5E">
      <w:pPr>
        <w:pStyle w:val="TEKST"/>
        <w:spacing w:before="0" w:after="0" w:line="240" w:lineRule="auto"/>
        <w:ind w:firstLine="0"/>
        <w:jc w:val="left"/>
        <w:rPr>
          <w:rFonts w:ascii="Arial" w:hAnsi="Arial" w:cs="Arial"/>
          <w:sz w:val="24"/>
        </w:rPr>
      </w:pPr>
    </w:p>
    <w:p w:rsidR="00050B5E" w:rsidRPr="00050B5E" w:rsidRDefault="00050B5E" w:rsidP="00050B5E">
      <w:pPr>
        <w:pStyle w:val="TEKST"/>
        <w:spacing w:before="0" w:after="0" w:line="240" w:lineRule="auto"/>
        <w:ind w:firstLine="0"/>
        <w:jc w:val="left"/>
        <w:rPr>
          <w:rFonts w:ascii="Arial" w:hAnsi="Arial" w:cs="Arial"/>
          <w:sz w:val="24"/>
        </w:rPr>
      </w:pPr>
      <w:r w:rsidRPr="00050B5E">
        <w:rPr>
          <w:rFonts w:ascii="Arial" w:hAnsi="Arial" w:cs="Arial"/>
          <w:sz w:val="24"/>
        </w:rPr>
        <w:t xml:space="preserve">Centrum dystrybucji wodoru będzie korzystało z mediów i infrastruktury zakładu ANWIL S.A. (m. in. zaopatrzenie w wodę, energię elektryczną, odprowadzenie i oczyszczenie ścieków). Rurociągi przesyłowe i doprowadzające media do obu węzłów będą poprowadzone na estakadach, nad ziemią, w większości wzdłuż istniejących rurociągów. </w:t>
      </w:r>
    </w:p>
    <w:p w:rsidR="00050B5E" w:rsidRDefault="00050B5E" w:rsidP="00050B5E">
      <w:pPr>
        <w:pStyle w:val="TEKST"/>
        <w:spacing w:before="0" w:after="0" w:line="240" w:lineRule="auto"/>
        <w:ind w:firstLine="0"/>
        <w:rPr>
          <w:rFonts w:ascii="Arial Narrow" w:hAnsi="Arial Narrow"/>
          <w:sz w:val="24"/>
        </w:rPr>
      </w:pPr>
    </w:p>
    <w:p w:rsidR="00050B5E" w:rsidRDefault="00050B5E" w:rsidP="00050B5E">
      <w:pPr>
        <w:pStyle w:val="TEKST"/>
        <w:spacing w:before="0" w:after="0" w:line="240" w:lineRule="auto"/>
        <w:ind w:firstLine="0"/>
        <w:rPr>
          <w:rFonts w:ascii="Arial Narrow" w:hAnsi="Arial Narrow"/>
          <w:sz w:val="24"/>
        </w:rPr>
      </w:pPr>
    </w:p>
    <w:p w:rsidR="00185CAB" w:rsidRPr="007B43C5" w:rsidRDefault="00185CAB" w:rsidP="007B43C5">
      <w:pPr>
        <w:rPr>
          <w:rFonts w:ascii="Arial" w:hAnsi="Arial" w:cs="Arial"/>
        </w:rPr>
      </w:pPr>
    </w:p>
    <w:sectPr w:rsidR="00185CAB" w:rsidRPr="007B4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4ED3"/>
    <w:multiLevelType w:val="hybridMultilevel"/>
    <w:tmpl w:val="664602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90E2FC2"/>
    <w:multiLevelType w:val="hybridMultilevel"/>
    <w:tmpl w:val="53D0E34C"/>
    <w:lvl w:ilvl="0" w:tplc="06846716">
      <w:start w:val="3"/>
      <w:numFmt w:val="bullet"/>
      <w:lvlText w:val="-"/>
      <w:lvlJc w:val="left"/>
      <w:pPr>
        <w:ind w:left="1860" w:hanging="360"/>
      </w:pPr>
      <w:rPr>
        <w:rFonts w:ascii="Arial Narrow" w:eastAsia="Times New Roman" w:hAnsi="Arial Narrow" w:cs="Times New Roman" w:hint="default"/>
      </w:rPr>
    </w:lvl>
    <w:lvl w:ilvl="1" w:tplc="04150003">
      <w:start w:val="1"/>
      <w:numFmt w:val="bullet"/>
      <w:lvlText w:val="o"/>
      <w:lvlJc w:val="left"/>
      <w:pPr>
        <w:ind w:left="2580" w:hanging="360"/>
      </w:pPr>
      <w:rPr>
        <w:rFonts w:ascii="Courier New" w:hAnsi="Courier New" w:cs="Courier New" w:hint="default"/>
      </w:rPr>
    </w:lvl>
    <w:lvl w:ilvl="2" w:tplc="04150005">
      <w:start w:val="1"/>
      <w:numFmt w:val="bullet"/>
      <w:lvlText w:val=""/>
      <w:lvlJc w:val="left"/>
      <w:pPr>
        <w:ind w:left="3300" w:hanging="360"/>
      </w:pPr>
      <w:rPr>
        <w:rFonts w:ascii="Wingdings" w:hAnsi="Wingdings" w:hint="default"/>
      </w:rPr>
    </w:lvl>
    <w:lvl w:ilvl="3" w:tplc="04150001">
      <w:start w:val="1"/>
      <w:numFmt w:val="bullet"/>
      <w:lvlText w:val=""/>
      <w:lvlJc w:val="left"/>
      <w:pPr>
        <w:ind w:left="4020" w:hanging="360"/>
      </w:pPr>
      <w:rPr>
        <w:rFonts w:ascii="Symbol" w:hAnsi="Symbol" w:hint="default"/>
      </w:rPr>
    </w:lvl>
    <w:lvl w:ilvl="4" w:tplc="04150003">
      <w:start w:val="1"/>
      <w:numFmt w:val="bullet"/>
      <w:lvlText w:val="o"/>
      <w:lvlJc w:val="left"/>
      <w:pPr>
        <w:ind w:left="4740" w:hanging="360"/>
      </w:pPr>
      <w:rPr>
        <w:rFonts w:ascii="Courier New" w:hAnsi="Courier New" w:cs="Courier New" w:hint="default"/>
      </w:rPr>
    </w:lvl>
    <w:lvl w:ilvl="5" w:tplc="04150005">
      <w:start w:val="1"/>
      <w:numFmt w:val="bullet"/>
      <w:lvlText w:val=""/>
      <w:lvlJc w:val="left"/>
      <w:pPr>
        <w:ind w:left="5460" w:hanging="360"/>
      </w:pPr>
      <w:rPr>
        <w:rFonts w:ascii="Wingdings" w:hAnsi="Wingdings" w:hint="default"/>
      </w:rPr>
    </w:lvl>
    <w:lvl w:ilvl="6" w:tplc="04150001">
      <w:start w:val="1"/>
      <w:numFmt w:val="bullet"/>
      <w:lvlText w:val=""/>
      <w:lvlJc w:val="left"/>
      <w:pPr>
        <w:ind w:left="6180" w:hanging="360"/>
      </w:pPr>
      <w:rPr>
        <w:rFonts w:ascii="Symbol" w:hAnsi="Symbol" w:hint="default"/>
      </w:rPr>
    </w:lvl>
    <w:lvl w:ilvl="7" w:tplc="04150003">
      <w:start w:val="1"/>
      <w:numFmt w:val="bullet"/>
      <w:lvlText w:val="o"/>
      <w:lvlJc w:val="left"/>
      <w:pPr>
        <w:ind w:left="6900" w:hanging="360"/>
      </w:pPr>
      <w:rPr>
        <w:rFonts w:ascii="Courier New" w:hAnsi="Courier New" w:cs="Courier New" w:hint="default"/>
      </w:rPr>
    </w:lvl>
    <w:lvl w:ilvl="8" w:tplc="04150005">
      <w:start w:val="1"/>
      <w:numFmt w:val="bullet"/>
      <w:lvlText w:val=""/>
      <w:lvlJc w:val="left"/>
      <w:pPr>
        <w:ind w:left="7620" w:hanging="360"/>
      </w:pPr>
      <w:rPr>
        <w:rFonts w:ascii="Wingdings" w:hAnsi="Wingdings" w:hint="default"/>
      </w:rPr>
    </w:lvl>
  </w:abstractNum>
  <w:abstractNum w:abstractNumId="2" w15:restartNumberingAfterBreak="0">
    <w:nsid w:val="2BFD4EC2"/>
    <w:multiLevelType w:val="hybridMultilevel"/>
    <w:tmpl w:val="CD780B80"/>
    <w:lvl w:ilvl="0" w:tplc="04150017">
      <w:start w:val="1"/>
      <w:numFmt w:val="lowerLetter"/>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3" w15:restartNumberingAfterBreak="0">
    <w:nsid w:val="409B4288"/>
    <w:multiLevelType w:val="hybridMultilevel"/>
    <w:tmpl w:val="3948F826"/>
    <w:lvl w:ilvl="0" w:tplc="FFFFFFFF">
      <w:start w:val="1"/>
      <w:numFmt w:val="lowerLetter"/>
      <w:lvlText w:val="%1)"/>
      <w:lvlJc w:val="left"/>
      <w:pPr>
        <w:ind w:left="150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E966C32"/>
    <w:multiLevelType w:val="hybridMultilevel"/>
    <w:tmpl w:val="CC58D5E6"/>
    <w:lvl w:ilvl="0" w:tplc="FFFFFFFF">
      <w:start w:val="1"/>
      <w:numFmt w:val="lowerLetter"/>
      <w:lvlText w:val="%1)"/>
      <w:lvlJc w:val="left"/>
      <w:pPr>
        <w:ind w:left="1500" w:hanging="360"/>
      </w:pPr>
    </w:lvl>
    <w:lvl w:ilvl="1" w:tplc="FFFFFFFF">
      <w:start w:val="1"/>
      <w:numFmt w:val="lowerLetter"/>
      <w:lvlText w:val="%2."/>
      <w:lvlJc w:val="left"/>
      <w:pPr>
        <w:ind w:left="2220" w:hanging="360"/>
      </w:pPr>
    </w:lvl>
    <w:lvl w:ilvl="2" w:tplc="FFFFFFFF">
      <w:start w:val="1"/>
      <w:numFmt w:val="lowerRoman"/>
      <w:lvlText w:val="%3."/>
      <w:lvlJc w:val="right"/>
      <w:pPr>
        <w:ind w:left="2940" w:hanging="180"/>
      </w:pPr>
    </w:lvl>
    <w:lvl w:ilvl="3" w:tplc="FFFFFFFF">
      <w:start w:val="1"/>
      <w:numFmt w:val="decimal"/>
      <w:lvlText w:val="%4."/>
      <w:lvlJc w:val="left"/>
      <w:pPr>
        <w:ind w:left="3660" w:hanging="360"/>
      </w:pPr>
    </w:lvl>
    <w:lvl w:ilvl="4" w:tplc="FFFFFFFF">
      <w:start w:val="1"/>
      <w:numFmt w:val="lowerLetter"/>
      <w:lvlText w:val="%5."/>
      <w:lvlJc w:val="left"/>
      <w:pPr>
        <w:ind w:left="4380" w:hanging="360"/>
      </w:pPr>
    </w:lvl>
    <w:lvl w:ilvl="5" w:tplc="FFFFFFFF">
      <w:start w:val="1"/>
      <w:numFmt w:val="lowerRoman"/>
      <w:lvlText w:val="%6."/>
      <w:lvlJc w:val="right"/>
      <w:pPr>
        <w:ind w:left="5100" w:hanging="180"/>
      </w:pPr>
    </w:lvl>
    <w:lvl w:ilvl="6" w:tplc="FFFFFFFF">
      <w:start w:val="1"/>
      <w:numFmt w:val="decimal"/>
      <w:lvlText w:val="%7."/>
      <w:lvlJc w:val="left"/>
      <w:pPr>
        <w:ind w:left="5820" w:hanging="360"/>
      </w:pPr>
    </w:lvl>
    <w:lvl w:ilvl="7" w:tplc="FFFFFFFF">
      <w:start w:val="1"/>
      <w:numFmt w:val="lowerLetter"/>
      <w:lvlText w:val="%8."/>
      <w:lvlJc w:val="left"/>
      <w:pPr>
        <w:ind w:left="6540" w:hanging="360"/>
      </w:pPr>
    </w:lvl>
    <w:lvl w:ilvl="8" w:tplc="FFFFFFFF">
      <w:start w:val="1"/>
      <w:numFmt w:val="lowerRoman"/>
      <w:lvlText w:val="%9."/>
      <w:lvlJc w:val="right"/>
      <w:pPr>
        <w:ind w:left="7260" w:hanging="180"/>
      </w:pPr>
    </w:lvl>
  </w:abstractNum>
  <w:num w:numId="1" w16cid:durableId="1306395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484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784824">
    <w:abstractNumId w:val="1"/>
  </w:num>
  <w:num w:numId="4" w16cid:durableId="1210340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913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C5"/>
    <w:rsid w:val="00050B5E"/>
    <w:rsid w:val="00185CAB"/>
    <w:rsid w:val="001A64D2"/>
    <w:rsid w:val="00544557"/>
    <w:rsid w:val="007B43C5"/>
    <w:rsid w:val="00DB1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F1B3B-DF61-4CBB-8272-40B7FF17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43C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7B43C5"/>
    <w:rPr>
      <w:color w:val="0000FF"/>
      <w:u w:val="single"/>
    </w:rPr>
  </w:style>
  <w:style w:type="character" w:customStyle="1" w:styleId="NormalnyWebZnak1">
    <w:name w:val="Normalny (Web) Znak1"/>
    <w:aliases w:val="Normalny (Web) Znak Znak1,Normalny (Web) Znak Znak Znak"/>
    <w:link w:val="NormalnyWeb"/>
    <w:uiPriority w:val="99"/>
    <w:semiHidden/>
    <w:locked/>
    <w:rsid w:val="007B43C5"/>
    <w:rPr>
      <w:rFonts w:ascii="Times New Roman" w:eastAsia="Batang" w:hAnsi="Times New Roman" w:cs="Times New Roman"/>
      <w:sz w:val="24"/>
      <w:szCs w:val="24"/>
      <w:lang w:eastAsia="ar-SA"/>
    </w:rPr>
  </w:style>
  <w:style w:type="paragraph" w:styleId="NormalnyWeb">
    <w:name w:val="Normal (Web)"/>
    <w:aliases w:val="Normalny (Web) Znak,Normalny (Web) Znak Znak"/>
    <w:basedOn w:val="Normalny"/>
    <w:link w:val="NormalnyWebZnak1"/>
    <w:uiPriority w:val="99"/>
    <w:semiHidden/>
    <w:unhideWhenUsed/>
    <w:qFormat/>
    <w:rsid w:val="007B43C5"/>
    <w:pPr>
      <w:ind w:left="720"/>
    </w:pPr>
    <w:rPr>
      <w:rFonts w:eastAsia="Batang"/>
      <w:lang w:eastAsia="ar-SA"/>
    </w:rPr>
  </w:style>
  <w:style w:type="character" w:customStyle="1" w:styleId="TEKSTZnak">
    <w:name w:val="TEKST Znak"/>
    <w:link w:val="TEKST"/>
    <w:locked/>
    <w:rsid w:val="00050B5E"/>
    <w:rPr>
      <w:rFonts w:ascii="Times New Roman" w:eastAsia="Times New Roman" w:hAnsi="Times New Roman" w:cs="Times New Roman"/>
      <w:szCs w:val="24"/>
      <w:lang w:eastAsia="ar-SA"/>
    </w:rPr>
  </w:style>
  <w:style w:type="paragraph" w:customStyle="1" w:styleId="TEKST">
    <w:name w:val="TEKST"/>
    <w:link w:val="TEKSTZnak"/>
    <w:qFormat/>
    <w:rsid w:val="00050B5E"/>
    <w:pPr>
      <w:spacing w:before="120" w:after="120" w:line="360" w:lineRule="auto"/>
      <w:ind w:firstLine="709"/>
      <w:jc w:val="both"/>
    </w:pPr>
    <w:rPr>
      <w:rFonts w:ascii="Times New Roman" w:eastAsia="Times New Roman" w:hAnsi="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794884">
      <w:bodyDiv w:val="1"/>
      <w:marLeft w:val="0"/>
      <w:marRight w:val="0"/>
      <w:marTop w:val="0"/>
      <w:marBottom w:val="0"/>
      <w:divBdr>
        <w:top w:val="none" w:sz="0" w:space="0" w:color="auto"/>
        <w:left w:val="none" w:sz="0" w:space="0" w:color="auto"/>
        <w:bottom w:val="none" w:sz="0" w:space="0" w:color="auto"/>
        <w:right w:val="none" w:sz="0" w:space="0" w:color="auto"/>
      </w:divBdr>
    </w:div>
    <w:div w:id="19336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5925</Words>
  <Characters>35550</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2</cp:revision>
  <dcterms:created xsi:type="dcterms:W3CDTF">2023-01-10T11:53:00Z</dcterms:created>
  <dcterms:modified xsi:type="dcterms:W3CDTF">2023-01-10T11:53:00Z</dcterms:modified>
</cp:coreProperties>
</file>